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6.png" ContentType="image/png"/>
  <Override PartName="/word/media/rId49.png" ContentType="image/png"/>
  <Override PartName="/word/media/rId52.png" ContentType="image/png"/>
  <Override PartName="/word/media/rId55.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w:t>
      </w:r>
      <w:r>
        <w:t xml:space="preserve">· Khoa Kinh tế, Trường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Tú</w:t>
      </w:r>
      <w:r>
        <w:t xml:space="preserve"> </w:t>
      </w:r>
      <w:r>
        <w:rPr>
          <w:iCs/>
          <w:i/>
        </w:rPr>
        <w:t xml:space="preserve">(Tác giả liên hệ)</w:t>
      </w:r>
      <w:r>
        <w:t xml:space="preserve"> </w:t>
      </w:r>
      <w:r>
        <w:t xml:space="preserve">· Khoa Kinh tế, Trường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Tạp chí mục tiêu: Journal of Asia Business Studies (JABS), Emerald Publishing</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tương tác TCI và DAI với FSTS).</w:t>
      </w:r>
    </w:p>
    <w:p>
      <w:r>
        <w:pict>
          <v:rect style="width:0;height:1.5pt" o:hralign="center" o:hrstd="t" o:hr="t"/>
        </w:pict>
      </w:r>
    </w:p>
    <w:bookmarkStart w:id="24" w:name="tóm-tắt"/>
    <w:p>
      <w:pPr>
        <w:pStyle w:val="Heading2"/>
      </w:pPr>
      <w:r>
        <w:t xml:space="preserve">Tóm tắt</w:t>
      </w:r>
    </w:p>
    <w:p>
      <w:pPr>
        <w:pStyle w:val="FirstParagraph"/>
      </w:pPr>
      <w:r>
        <w:rPr>
          <w:bCs/>
          <w:b/>
        </w:rPr>
        <w:t xml:space="preserve">Mục đích</w:t>
      </w:r>
      <w:r>
        <w:t xml:space="preserve">: Nghiên cứu này xem xét lại mối quan hệ quốc tế hóa–hiệu quả (internationalization–performance,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Dữ liệu ba đợt khảo sát của Khảo sát Doanh nghiệp Ngân hàng Thế giới (World Bank Enterprise Survey,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TCI) là cấu trúc đo lường chính; chỉ số áp dụng nền tảng (Digital Adoption Index, DAI) dạng đơn mục về hiện diện website (Tầng 1 mà thôi) được giữ lại làm biến kiểm soát hiện diện số nền tảng.</w:t>
      </w:r>
    </w:p>
    <w:p>
      <w:pPr>
        <w:pStyle w:val="BodyText"/>
      </w:pPr>
      <w:r>
        <w:rPr>
          <w:bCs/>
          <w:b/>
        </w:rPr>
        <w:t xml:space="preserve">Kết quả</w:t>
      </w:r>
      <w:r>
        <w:t xml:space="preserve">: Quan hệ hình chữ U ngược giữa cường độ xuất khẩu (Foreign Sales to Total Sales, FSTS) và năng suất lao động được xác nhận qua cả ba đợt khảo sát, với điểm ngưỡng dao động trong khoảng 39% đến 46%,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(gộp,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 "quốc tế hóa có giúp ích không?" sang "dưới điều kiện thể chế nào thì ngưỡng dịch chuyển?".</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4"/>
    <w:bookmarkStart w:id="25"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gộp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5"/>
    <w:bookmarkStart w:id="30" w:name="X8291021638e5c0ee7b47a0aaabc4b853f1da348"/>
    <w:p>
      <w:pPr>
        <w:pStyle w:val="Heading2"/>
      </w:pPr>
      <w:r>
        <w:t xml:space="preserve">1. Giới thiệu</w:t>
      </w:r>
    </w:p>
    <w:bookmarkStart w:id="26" w:name="X1de5f3ac9c82c222f031c6be76e9078f75f984d"/>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văn liệu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cửa sổ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cửa sổ mười bốn năm này bỏ lỡ thực tế rằng dân số doanh nghiệp cơ bản, chi phí phối hợp ràng buộc và giàn đỡ thể chế cho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khoảng cách năng suất giữa các doanh nghiệp chuyển từ không xuất khẩu sang bất kỳ cường độ xuất khẩu dương nào,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nơi ràng buộc thể chế và năng lực bị siết chặt nhất trong bối cảnh chuyển đổi.</w:t>
      </w:r>
    </w:p>
    <w:bookmarkEnd w:id="26"/>
    <w:bookmarkStart w:id="27"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và đôi khi biến mất,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giữ nguyên bối cảnh thể chế trong khi thay đổi thời gian,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cửa sổ quan sát xác nhận bối cảnh chuyển đổi: tăng trưởng GDP đạt 7,09% năm 2024, dòng vốn FDI là 20,17 tỷ USD (4,23% GDP) và cơ cấu xuất khẩu chuyển đổi đáng kể sang máy móc và điện tử, chiếm 45,8% tổng giá trị thương mại, thay thế cụm dệt may vốn chiếm ưu thế trong lịch sử, phản ánh sự nâng cấp cấu trúc trong năng lực sản xuất diễn ra song song với ba đợt khảo sát (World Bank, 2025c).</w:t>
      </w:r>
    </w:p>
    <w:bookmarkEnd w:id="27"/>
    <w:bookmarkStart w:id="28" w:name="Xeedc03ef61ada7b1412bb34ba01505c4b6d308f"/>
    <w:p>
      <w:pPr>
        <w:pStyle w:val="Heading3"/>
      </w:pPr>
      <w:r>
        <w:t xml:space="preserve">1.3 Đóng góp</w:t>
      </w:r>
    </w:p>
    <w:p>
      <w:pPr>
        <w:pStyle w:val="FirstParagraph"/>
      </w:pPr>
      <w:r>
        <w:t xml:space="preserve">Nghiên cứu này có ba đóng góp vào văn liệu.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nơi ràng buộc thể chế, năng lực và chi phí chìm bị siết chặt nhất trong nền kinh tế chuyển đổi,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thay vì bão hòa biên cường độ, là cơ chế ràng buộc chính trong động học I–P của nền kinh tế chuyển đổi. Sự phân kỳ giữa mô hình này và các mô hình được ghi nhận trong các nền kinh tế tiên tiến về số, nơi cơ chế chi phí phối hợp bị suy giảm bởi hạ tầng số toàn diện, neo đậu đầu chuyển đổi số của phổ thể chế và thúc đẩy các cơ chế cấp thể chế như những điều tiết viên ứng cử viên cho vị trí đường cong I–P.</w:t>
      </w:r>
    </w:p>
    <w:bookmarkEnd w:id="28"/>
    <w:bookmarkStart w:id="29" w:name="X8716e35c20780f9be5e711dfa5f357b03425257"/>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9"/>
    <w:bookmarkEnd w:id="30"/>
    <w:bookmarkStart w:id="38" w:name="Xc948a667d59efd33f3b5fae659341d5c8fb2e03"/>
    <w:p>
      <w:pPr>
        <w:pStyle w:val="Heading2"/>
      </w:pPr>
      <w:r>
        <w:t xml:space="preserve">2. Lý thuyết và giả thuyết</w:t>
      </w:r>
    </w:p>
    <w:bookmarkStart w:id="31" w:name="Xcade398b72bdaf504ff79c2ee6af3cb16abe98c"/>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(gộp FSTS_c² β = −0,200, p = .660) thay vào đó chỉ ra rằng biên tham gia (H1a) là nguồn chính của độ cong toàn mẫu.</w:t>
      </w:r>
    </w:p>
    <w:bookmarkEnd w:id="31"/>
    <w:bookmarkStart w:id="32" w:name="X693d7761e660017b0030ce2c3cb459e0903a67b"/>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2"/>
    <w:bookmarkStart w:id="33" w:name="X9926f6fdeb2563ca16dc9ee150e247403451c38"/>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bản thân website không tích hợp giao dịch, chuỗi cung ứng hay ra quyết định,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hiện diện số (website, thư điện tử); Tầng 2, truyền thông số và thương mại điện tử cơ bản; Tầng 3, tích hợp quy trình số (thanh toán điện tử, số hóa chuỗi cung ứng); Tầng 4,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cửa sổ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hoạt động như bổ sung quy mô có điều kiện thay vì bộ khuếch đại căng thẳng phối hợp, vì hệ sinh thái xung quanh có thể hấp thụ xử lý giao dịch xuyên biên giới mà bản thân website không thể.</w:t>
      </w:r>
    </w:p>
    <w:p>
      <w:pPr>
        <w:pStyle w:val="BodyText"/>
      </w:pPr>
      <w:r>
        <w:t xml:space="preserve">Vì DAI_z thu gọn thành một mục nhị phân duy nhất, c22b (hiện diện website của doanh nghiệp), nó nắm bắt hiện diện số Tầng 1 thay vì năng lực số động. Đến năm 2023, quyền sở hữu website đã lan rộng đến gần một nửa dân số doanh nghiệp Việt Nam (49,8% năm 2023 so với 42,5% năm 2009) và ngày càng hoạt động như yếu tố vệ sinh tổ chức thay vì chỉ báo chiến lược số.</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3"/>
    <w:bookmarkStart w:id="37" w:name="X4c82bd636935ae41242da098284bc345b952623"/>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FE ngành [+ FE đợt]</w:t>
      </w:r>
    </w:p>
    <w:p>
      <w:pPr>
        <w:pStyle w:val="BodyText"/>
      </w:pPr>
      <w:r>
        <w:drawing>
          <wp:inline>
            <wp:extent cx="5753100" cy="3160501"/>
            <wp:effectExtent b="0" l="0" r="0" t="0"/>
            <wp:docPr descr="Hình 1: Mô hình khái niệm, TCI, DAI và cường độ xuất khẩu là các yếu tố quyết định hiệu quả doanh nghiệp (Việt Nam, 3 đợt)" title="" id="35" name="Picture"/>
            <a:graphic>
              <a:graphicData uri="http://schemas.openxmlformats.org/drawingml/2006/picture">
                <pic:pic>
                  <pic:nvPicPr>
                    <pic:cNvPr descr="figures/vietnam/figure_1_conceptual_model.png" id="36" name="Picture"/>
                    <pic:cNvPicPr>
                      <a:picLocks noChangeArrowheads="1" noChangeAspect="1"/>
                    </pic:cNvPicPr>
                  </pic:nvPicPr>
                  <pic:blipFill>
                    <a:blip r:embed="rId34"/>
                    <a:stretch>
                      <a:fillRect/>
                    </a:stretch>
                  </pic:blipFill>
                  <pic:spPr bwMode="auto">
                    <a:xfrm>
                      <a:off x="0" y="0"/>
                      <a:ext cx="5753100" cy="3160501"/>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cường độ quốc tế hóa (FSTS, FSTS_c đã được căn giữa và FSTS_c²), được đặt ở bên trái; biến phụ thuộc, hiệu quả doanh nghiệp, đo bằng ln(năng suất lao động) = ln(doanh thu hàng năm PPP / lao động thường xuyên),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7"/>
    <w:bookmarkEnd w:id="38"/>
    <w:bookmarkStart w:id="44" w:name="X9625864dada8107383b4a16f8e95c829edc6c27"/>
    <w:p>
      <w:pPr>
        <w:pStyle w:val="Heading2"/>
      </w:pPr>
      <w:r>
        <w:t xml:space="preserve">3. Dữ liệu, biến số và chiến lược thực nghiệm</w:t>
      </w:r>
    </w:p>
    <w:bookmarkStart w:id="39" w:name="Xe2cb903402e003c83e737f7cc4a1dae6c613e85"/>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9"/>
    <w:bookmarkStart w:id="40" w:name="X4ccc2fb137c87b79d1e71cbfea6dc6e4b23640a"/>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TCI_z) được diễn giải hẹp là thước đo năng lực công nghệ và tiêu chuẩn nước ngoài, chứng nhận chất lượng quốc tế và công nghệ cấp phép nước ngoài, đại diện cho sự tiếp xúc của doanh nghiệp với các tiêu chuẩn công nghệ bên ngoài thay vì toàn bộ kho dự trữ năng lực hấp thụ theo Cohen-Levinthal (Lall, 1992; Cohen và Levinthal, 1990). Chỉ số áp dụng số (Digital Adoption Index, DAI_z) được diễn giải hẹp là hiện diện số dựa trên website, áp dụng website nền tảng,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sử dụng chỉ số tổng hợp phong phú hơn chỉ cho năm 2023,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đến 0). c22b được mã hóa lại tương tự (1 = có website; 2 đến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40"/>
    <w:bookmarkStart w:id="41" w:name="X8642aea1e604fb368b9205dd294c100b0dc6e7e"/>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Kiểm soát nền tảng:</w:t>
      </w:r>
      <w:r>
        <w:t xml:space="preserve"> </w:t>
      </w:r>
      <w:r>
        <w:t xml:space="preserve">lnLP_it = α + γ₁ lnEmp_it + γ₂ FirmAge_it + γ₃ ForeignOwned_it + δ_s + [λ_t] + ε_it</w:t>
      </w:r>
    </w:p>
    <w:p>
      <w:pPr>
        <w:pStyle w:val="BodyText"/>
      </w:pPr>
      <w:r>
        <w:rPr>
          <w:bCs/>
          <w:b/>
        </w:rPr>
        <w:t xml:space="preserve">M1, Quốc tế hóa tuyến tính:</w:t>
      </w:r>
      <w:r>
        <w:t xml:space="preserve"> </w:t>
      </w:r>
      <w:r>
        <w:t xml:space="preserve">lnLP_it = α + β₁ FSTS_c_it + γ·</w:t>
      </w:r>
      <w:r>
        <w:rPr>
          <w:bCs/>
          <w:b/>
        </w:rPr>
        <w:t xml:space="preserve">X</w:t>
      </w:r>
      <w:r>
        <w:t xml:space="preserve">_it + δ_s + [λ_t] + ε_it</w:t>
      </w:r>
    </w:p>
    <w:p>
      <w:pPr>
        <w:pStyle w:val="BodyText"/>
      </w:pPr>
      <w:r>
        <w:rPr>
          <w:bCs/>
          <w:b/>
        </w:rPr>
        <w:t xml:space="preserve">M2, Quốc tế hóa bậc hai (kiểm định H1 hình chữ U ngược):</w:t>
      </w:r>
      <w:r>
        <w:t xml:space="preserve"> </w:t>
      </w:r>
      <w:r>
        <w:t xml:space="preserve">lnLP_it = α + β₁ FSTS_c_it + β₂ FSTS_c²_it + γ·</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Điều tiết TCI (kiểm định H2):</w:t>
      </w:r>
    </w:p>
    <w:p>
      <w:pPr>
        <w:pStyle w:val="BodyText"/>
      </w:pP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Điều tiết DAI (thăm dò H4):</w:t>
      </w:r>
    </w:p>
    <w:p>
      <w:pPr>
        <w:pStyle w:val="BodyText"/>
      </w:pP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Chỉ hiệu ứng trực tiếp TCI:</w:t>
      </w:r>
    </w:p>
    <w:p>
      <w:pPr>
        <w:pStyle w:val="BodyText"/>
      </w:pP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Chỉ hiệu ứng trực tiếp DAI:</w:t>
      </w:r>
    </w:p>
    <w:p>
      <w:pPr>
        <w:pStyle w:val="BodyText"/>
      </w:pP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Song song trực tiếp, không tương tác:</w:t>
      </w:r>
    </w:p>
    <w:p>
      <w:pPr>
        <w:pStyle w:val="BodyText"/>
      </w:pP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Mô hình đầy đủ (song song trực tiếp + điều tiết DAI):</w:t>
      </w:r>
    </w:p>
    <w:p>
      <w:pPr>
        <w:pStyle w:val="BodyText"/>
      </w:pP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41"/>
    <w:bookmarkStart w:id="42" w:name="X9dd51d5385206aa95626df6ef4436b2a6840729"/>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năng suất, khả năng tài chính, chất lượng quản lý,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2"/>
    <w:bookmarkStart w:id="43" w:name="X51553d7a0aa06cb8598670642b9b472abf71ca4"/>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chứ không phải đầu ra tệp do-file,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3"/>
    <w:bookmarkEnd w:id="44"/>
    <w:bookmarkStart w:id="67" w:name="Xc1528237297c4ce8999628372a6b48494fd6214"/>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DAI, Tầng 1 proxy) tăng từ 0,425 năm 2009 lên 0,483 năm 2015 và 0,498 năm 2023, cho thấy sự lan tỏa rộng rãi của hiện diện trực tuyến cơ bản trên toàn bộ dân số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5" w:name="X20f2ecaf0c0bb6962fab79a83ac7cce2d90a2b3"/>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phù hợp với kết quả không có ý nghĩa của 2SLS cho DAI được xử lý công cụ (β = 0,018, p = .942; Mục 4.5 Bảng K),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 "áp dụng số là xấu",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đến 0,128 đến 0,123) nhưng với điều tiết còn tồn tại trong các bảng 2009, 2023 và gộp. Hiện diện số dựa trên website theo quỹ đạo phi đơn điệu, mạnh năm 2009 (β = 0,175 ***), không có ý nghĩa năm 2015 (β = −0,044 n.s.), và tái xuất hiện năm 2023 (β = 0,095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dù chỉ ở tầng website,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5"/>
    <w:bookmarkStart w:id="58" w:name="X24d51f9079bfffa9c55643ac39b315389bc2357"/>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Điểm ngưỡng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FirstParagraph"/>
      </w:pPr>
      <w:r>
        <w:drawing>
          <wp:inline>
            <wp:extent cx="5753100" cy="3835399"/>
            <wp:effectExtent b="0" l="0" r="0" t="0"/>
            <wp:docPr descr="Hình 2a: Đợt 2009, ln(năng suất lao động) dự đoán theo FSTS" title="" id="47" name="Picture"/>
            <a:graphic>
              <a:graphicData uri="http://schemas.openxmlformats.org/drawingml/2006/picture">
                <pic:pic>
                  <pic:nvPicPr>
                    <pic:cNvPr descr="figures/vietnam/figure_2a.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BodyText"/>
      </w:pPr>
      <w:r>
        <w:drawing>
          <wp:inline>
            <wp:extent cx="5753100" cy="3835399"/>
            <wp:effectExtent b="0" l="0" r="0" t="0"/>
            <wp:docPr descr="Hình 2b: Đợt 2015, ln(năng suất lao động) dự đoán theo FSTS" title="" id="50" name="Picture"/>
            <a:graphic>
              <a:graphicData uri="http://schemas.openxmlformats.org/drawingml/2006/picture">
                <pic:pic>
                  <pic:nvPicPr>
                    <pic:cNvPr descr="figures/vietnam/figure_2b.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BodyText"/>
      </w:pPr>
      <w:r>
        <w:drawing>
          <wp:inline>
            <wp:extent cx="5753100" cy="3835399"/>
            <wp:effectExtent b="0" l="0" r="0" t="0"/>
            <wp:docPr descr="Hình 2c: Đợt 2023, ln(năng suất lao động) dự đoán theo FSTS" title="" id="53" name="Picture"/>
            <a:graphic>
              <a:graphicData uri="http://schemas.openxmlformats.org/drawingml/2006/picture">
                <pic:pic>
                  <pic:nvPicPr>
                    <pic:cNvPr descr="figures/vietnam/figure_2c.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BodyText"/>
      </w:pPr>
      <w:r>
        <w:drawing>
          <wp:inline>
            <wp:extent cx="5753100" cy="3835399"/>
            <wp:effectExtent b="0" l="0" r="0" t="0"/>
            <wp:docPr descr="Hình 2d: Gộp (2009+2015+2023), ln(năng suất lao động) dự đoán theo FSTS" title="" id="56" name="Picture"/>
            <a:graphic>
              <a:graphicData uri="http://schemas.openxmlformats.org/drawingml/2006/picture">
                <pic:pic>
                  <pic:nvPicPr>
                    <pic:cNvPr descr="figures/vietnam/figure_2d.png" id="57" name="Picture"/>
                    <pic:cNvPicPr>
                      <a:picLocks noChangeArrowheads="1" noChangeAspect="1"/>
                    </pic:cNvPicPr>
                  </pic:nvPicPr>
                  <pic:blipFill>
                    <a:blip r:embed="rId55"/>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8"/>
    <w:bookmarkStart w:id="62" w:name="X78d4c366d6bfb1572651ffbbe35fe9d8afd2d69"/>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năng lực phối hợp, thực thi hợp đồng và tiếp cận tài chính thương mại, thay đổi chậm hơn môi trường vận hành rộng hơn. Bằng chứng theo đợt chéo trong WBES này bổ sung cho kênh ngữ cảnh thể chế được xác định trong các phân tích tổng hợp về quan hệ I–P (Wu, Fan, &amp; Chen, 2022,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năng lực số đảo ngược độ cong đối với các doanh nghiệp áp dụng cao, không được ủng hộ trong mẫu Việt Nam.</w:t>
      </w:r>
    </w:p>
    <w:p>
      <w:r>
        <w:pict>
          <v:rect style="width:0;height:1.5pt" o:hralign="center" o:hrstd="t" o:hr="t"/>
        </w:pict>
      </w:r>
    </w:p>
    <w:p>
      <w:pPr>
        <w:pStyle w:val="FirstParagraph"/>
      </w:pPr>
      <w:r>
        <w:drawing>
          <wp:inline>
            <wp:extent cx="5753100" cy="2401293"/>
            <wp:effectExtent b="0" l="0" r="0" t="0"/>
            <wp:docPr descr="Hình 3: Hiệu ứng biên biến điều tiết, tương tác TCI và DAI với FSTS (Việt Nam)" title="" id="60" name="Picture"/>
            <a:graphic>
              <a:graphicData uri="http://schemas.openxmlformats.org/drawingml/2006/picture">
                <pic:pic>
                  <pic:nvPicPr>
                    <pic:cNvPr descr="figures/vietnam/figure_3_moderator_marginals.png" id="61" name="Picture"/>
                    <pic:cNvPicPr>
                      <a:picLocks noChangeArrowheads="1" noChangeAspect="1"/>
                    </pic:cNvPicPr>
                  </pic:nvPicPr>
                  <pic:blipFill>
                    <a:blip r:embed="rId59"/>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2"/>
    <w:bookmarkStart w:id="63" w:name="Xc345212fe10d5c110c9395d388dab8b2027428e"/>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3"/>
    <w:bookmarkStart w:id="66" w:name="X962cc121588f17586cf99031ffe1a2d08c3af00"/>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5"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phù hợp với việc dịch vụ hóa nền kinh tế và sự rút lui dần của các nhà xuất khẩu biên,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đầy đủ (trực tiếp)</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đầy đủ (trực tiếp)</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đầy đủ (điều tiết)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đầy đủ (điều tiết)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chỉ DN xuất khẩu</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chỉ DN xuất khẩu</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chỉ DN xuất khẩu</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chỉ DN xuất khẩu</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chỉ DN xuất khẩu</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bookmarkEnd w:id="65"/>
    <w:bookmarkEnd w:id="66"/>
    <w:bookmarkEnd w:id="67"/>
    <w:bookmarkStart w:id="68" w:name="Xaa9325489f0b9dc276b3f2f9f579573ecedce48"/>
    <w:p>
      <w:pPr>
        <w:pStyle w:val="Heading2"/>
      </w:pPr>
      <w:r>
        <w:t xml:space="preserve">Bảng phụ lục,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gộp (loại siêu nhỏ)</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tách ngành chế tạo</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tách ngành chế tạo</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tách ngành chế tạo</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tách ngành chế tạo</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tách ngành phi chế tạo</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tách ngành phi chế tạo</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tách ngành phi chế tạo</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tách ngành phi chế tạo</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gộp (tương tác đợt)</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gộp)</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đợt × biến trọng tâm (gộp)</w:t>
            </w:r>
          </w:p>
        </w:tc>
        <w:tc>
          <w:tcPr/>
          <w:p>
            <w:pPr>
              <w:pStyle w:val="Compact"/>
              <w:jc w:val="left"/>
            </w:pPr>
            <w:r>
              <w:t xml:space="preserve">2.958</w:t>
            </w:r>
          </w:p>
        </w:tc>
        <w:tc>
          <w:tcPr/>
          <w:p>
            <w:pPr>
              <w:pStyle w:val="Compact"/>
              <w:jc w:val="left"/>
            </w:pPr>
            <w:r>
              <w:t xml:space="preserve">DAI_z × đợt có thể phát hiện (p = .016); các tương tác đợt khác n.s.</w:t>
            </w:r>
          </w:p>
        </w:tc>
        <w:tc>
          <w:tcPr/>
          <w:p>
            <w:pPr>
              <w:pStyle w:val="Compact"/>
              <w:jc w:val="left"/>
            </w:pPr>
            <w:r>
              <w:t xml:space="preserve">Chỉ tác động trực tiếp DAI thay đổi theo đợt</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đến 0,61; FSTSc² −2,21 đến −1,17; TCI 0,14 đến 0,19; DAI 0,07 đến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w:t>
      </w:r>
      <w:r>
        <w:t xml:space="preserve"> </w:t>
      </w:r>
      <w:hyperlink r:id="rId64">
        <w:r>
          <w:rPr>
            <w:rStyle w:val="Hyperlink"/>
          </w:rPr>
          <w:t xml:space="preserve">www.enterprisesurveys.org;</w:t>
        </w:r>
      </w:hyperlink>
      <w:r>
        <w:t xml:space="preserve"> </w:t>
      </w:r>
      <w:r>
        <w:t xml:space="preserve">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mô hình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8"/>
    <w:bookmarkStart w:id="74" w:name="X3923f9545aa9c992e02ccb4472a40e02686b4e2"/>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với tư cách là nền kinh tế chuyển đổi một đảng có tốc độ thâm nhập hạ tầng số nhanh nhưng không đồng đều,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dải 39–46% duy trì trong 14 năm,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bất chấp sự hoài nghi liên quốc gia do Pisani, Garcia-Bernardo, và Heemskerk (2020, SMJ) nêu ra,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không phải chỉ là tạo tác thành phần do sự lựa chọn dương vào xuất khẩu.</w:t>
      </w:r>
    </w:p>
    <w:bookmarkStart w:id="69" w:name="Xa0739cbfd8d506b80df32b7af22803a2adce928"/>
    <w:p>
      <w:pPr>
        <w:pStyle w:val="Heading3"/>
      </w:pPr>
      <w:r>
        <w:t xml:space="preserve">5.1 Tái diễn giải chỉ số áp dụng nền tảng (Tầng 1, biến đại diện) về sự hiện diện trực tuyến tại Việt Nam</w:t>
      </w:r>
    </w:p>
    <w:p>
      <w:pPr>
        <w:pStyle w:val="FirstParagraph"/>
      </w:pPr>
      <w:r>
        <w:t xml:space="preserve">Hàm ý trung tâm của các phát hiện mô tả về DAI_z là sự hiện diện trực tuyến (hiện diện trực tuyến,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nơi mức độ liên quan đến năng suất của DAI suy giảm ở cường độ xuất khẩu cao hơn,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9"/>
    <w:bookmarkStart w:id="70" w:name="Xfb5eed35007150559d03d91f9913757e65b8ebb"/>
    <w:p>
      <w:pPr>
        <w:pStyle w:val="Heading3"/>
      </w:pPr>
      <w:r>
        <w:t xml:space="preserve">5.2 Tại sao sự phân biệt giữa TCI và biến đại diện DAI Tầng 1 quan trọng</w:t>
      </w:r>
    </w:p>
    <w:p>
      <w:pPr>
        <w:pStyle w:val="FirstParagraph"/>
      </w:pPr>
      <w:r>
        <w:t xml:space="preserve">Kết quả củng cố lập luận phương pháp luận về việc tách biệt năng lực công nghệ nước ngoài / chuẩn mực (Technological Capability Index, TCI) khỏi chỉ số áp dụng nền tảng về sự hiện diện trực tuyến, và không đồng nhất hai khái niệm dưới nhãn "áp dụng số" hay "chuyển đổi số" 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kết hợp c22b với tỷ phần thanh toán điện tử (k33, k38),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cách tiếp cận phân biệt giữa số hóa nền tảng cơ bản (dễ bị ô nhiễm bởi lựa chọn trên các quan sát) và chiều sâu công nghệ rộng hơn (vững hơn dưới nhận diện), thay vì thu gọn chúng vào một nhãn đơn nhất.</w:t>
      </w:r>
    </w:p>
    <w:bookmarkEnd w:id="70"/>
    <w:bookmarkStart w:id="71" w:name="Xd2dae2bd49295d1aebf720d5fef366b483b64cf"/>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không chỉ là khoảng cách hạ tầng vĩ mô,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không phải là biến thể nhận diện.</w:t>
      </w:r>
    </w:p>
    <w:p>
      <w:pPr>
        <w:pStyle w:val="BodyText"/>
      </w:pPr>
      <w:r>
        <w:t xml:space="preserve">Một cách diễn giải thuần túy theo giai đoạn tình huống không phải là cách đọc duy nhất về mô hình DAI theo đợt sóng. Một giải thích thay thế, và ở một mức độ nào đó bổ sung,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thay vì một sự dịch chuyển cấu trúc được nhận diện đầy đủ qua các đợt sóng. Như được báo cáo trong mục 4.5 Nhóm I, kiểm định tương tác đợt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giàn giáo hậu NDTP đã trưởng thành. Nghiên cứu này không coi các chỉ số vĩ mô này là biến thể nhận diện, chúng không được đưa vào hồi quy,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ngay cả khi các tham số độ cong của bản thân mối quan hệ I–P vẫn không thể phân biệt về mặt thống kê qua các đợt sóng.</w:t>
      </w:r>
    </w:p>
    <w:bookmarkEnd w:id="71"/>
    <w:bookmarkStart w:id="72" w:name="Xc270014993554c80e704120471fad27309d187d"/>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đến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bản đồ này dịch các mô hình hệ số theo đợt sóng thành các ưu tiên phù hợp với giai đoạn.</w:t>
      </w:r>
    </w:p>
    <w:p>
      <w:pPr>
        <w:pStyle w:val="BodyText"/>
      </w:pPr>
      <w:r>
        <w:rPr>
          <w:iCs/>
          <w:i/>
        </w:rPr>
        <w:t xml:space="preserve">Giai đoạn 1, Doanh nghiệp tiền xuất khẩu và cường độ thấp (FSTS = 0 hoặc FSTS &lt; ~30%).</w:t>
      </w:r>
      <w:r>
        <w:t xml:space="preserve"> </w:t>
      </w:r>
      <w:r>
        <w:t xml:space="preserve">Hành động quan trọng nhất về năng suất ở giai đoạn này là vượt qua rào cản tham gia,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công nghệ được cấp phép từ nước ngoài, hệ thống chứng nhận chất lượng chính thức, tích hợp quy trình với các khách hàng chính nước ngoài,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72"/>
    <w:bookmarkStart w:id="73" w:name="X2e1b23f57ce5a7f32ef434c773aa0f33ad95aec"/>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thay vì các doanh nghiệp đã hoạt động ở cường độ xuất khẩu cao,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chứng nhận chất lượng, đầu tư năng lực hấp thụ, các thông lệ tổ chức cho phối hợp xuyên biên giới, nhất quán hơn với mô hình nổi lên vào năm 2023.</w:t>
      </w:r>
    </w:p>
    <w:p>
      <w:pPr>
        <w:pStyle w:val="BodyText"/>
      </w:pPr>
      <w:r>
        <w:t xml:space="preserve">Thứ ba, so sánh qua đợt sóng, phản ánh các ảnh chụp cấp nhóm thay vì quỹ đạo nội bộ doanh nghiệp theo thiết kế mặt cắt chéo lặp lại, gợi ý rằng cửa sổ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cửa sổ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3"/>
    <w:bookmarkEnd w:id="74"/>
    <w:bookmarkStart w:id="75" w:name="X9fd066be02884da86701db9f2704b342602e3e7"/>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thay vì năng lực tổ chức được tích hợp số. Điều này có nghĩa là phân tích hiện tại không thể kết luận liệu tích hợp số sâu hơn, cường độ thanh toán điện tử Tầng 2, số hóa chuỗi cung ứng được liên kết ERP Tầng 3, hoặc hoạt động dữ liệu Tầng 4,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cửa sổ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ví dụ, tương phản các dịch vụ thâm dụng số với các dịch vụ truyền thống, hoặc tương phản các tiểu ngành chế tạo hướng xuất khẩu với hướng nội địa,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âm ở cường độ xuất khẩu cao dưới áp dụng chỉ Tầng 1,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5"/>
    <w:bookmarkStart w:id="76" w:name="X1f9d67da4cff2359f332166e5b547113791cb62"/>
    <w:p>
      <w:pPr>
        <w:pStyle w:val="Heading2"/>
      </w:pPr>
      <w:r>
        <w:t xml:space="preserve">7. Kết luận</w:t>
      </w:r>
    </w:p>
    <w:p>
      <w:pPr>
        <w:pStyle w:val="FirstParagraph"/>
      </w:pPr>
      <w:r>
        <w:t xml:space="preserve">Nghiên cứu này xem xét lại quan hệ quốc tế hóa–hiệu quả (internationalization–performance,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và quan trọng hơn,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năng lực phối hợp, thực thi hợp đồng và tiếp cận tài chính thương mại,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 "áp dụng số" hay "chuyển đổi số" 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nhất quán với sự lỗi thời của biến đại diện Tầng 1 khi sở hữu website khuếch tán đến mức gần phổ quát trong dân số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6"/>
    <w:bookmarkStart w:id="77" w:name="xung-đột-lợi-ích"/>
    <w:p>
      <w:pPr>
        <w:pStyle w:val="Heading2"/>
      </w:pPr>
      <w:r>
        <w:t xml:space="preserve">Xung đột lợi ích</w:t>
      </w:r>
    </w:p>
    <w:p>
      <w:pPr>
        <w:pStyle w:val="FirstParagraph"/>
      </w:pPr>
      <w:r>
        <w:t xml:space="preserve">Các tác giả tuyên bố không có xung đột lợi ích.</w:t>
      </w:r>
    </w:p>
    <w:bookmarkEnd w:id="77"/>
    <w:bookmarkStart w:id="78"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8"/>
    <w:bookmarkStart w:id="79"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9"/>
    <w:bookmarkStart w:id="80"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những người chịu trách nhiệm hoàn toàn về nội dung của bài báo.</w:t>
      </w:r>
    </w:p>
    <w:bookmarkEnd w:id="80"/>
    <w:bookmarkStart w:id="81"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81"/>
    <w:bookmarkStart w:id="82"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82"/>
    <w:bookmarkStart w:id="132" w:name="tài-liệu-tham-khảo"/>
    <w:p>
      <w:pPr>
        <w:pStyle w:val="Heading2"/>
      </w:pPr>
      <w:r>
        <w:t xml:space="preserve">Tài liệu tham khảo</w:t>
      </w:r>
    </w:p>
    <w:p>
      <w:pPr>
        <w:pStyle w:val="FirstParagraph"/>
      </w:pPr>
      <w:r>
        <w:rPr>
          <w:iCs/>
          <w:i/>
        </w:rPr>
        <w:t xml:space="preserve">(Giữ nguyên định dạng APA 7 tiếng Anh,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83">
        <w:r>
          <w:rPr>
            <w:rStyle w:val="Hyperlink"/>
          </w:rPr>
          <w:t xml:space="preserve">https://doi.org/10.1177/1094428119836485</w:t>
        </w:r>
      </w:hyperlink>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84">
        <w:r>
          <w:rPr>
            <w:rStyle w:val="Hyperlink"/>
          </w:rPr>
          <w:t xml:space="preserve">https://doi.org/10.1016/j.leaqua.2010.10.010</w:t>
        </w:r>
      </w:hyperlink>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6">
        <w:r>
          <w:rPr>
            <w:rStyle w:val="Hyperlink"/>
          </w:rPr>
          <w:t xml:space="preserve">https://doi.org/10.1257/jep.21.3.105</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8">
        <w:r>
          <w:rPr>
            <w:rStyle w:val="Hyperlink"/>
          </w:rPr>
          <w:t xml:space="preserve">https://doi.org/10.1057/jibs.2015.20</w:t>
        </w:r>
      </w:hyperlink>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9">
        <w:r>
          <w:rPr>
            <w:rStyle w:val="Hyperlink"/>
          </w:rPr>
          <w:t xml:space="preserve">https://doi.org/10.1257/mac.20180386</w:t>
        </w:r>
      </w:hyperlink>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90">
        <w:r>
          <w:rPr>
            <w:rStyle w:val="Hyperlink"/>
          </w:rPr>
          <w:t xml:space="preserve">https://doi.org/10.1002/smj.2475</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92">
        <w:r>
          <w:rPr>
            <w:rStyle w:val="Hyperlink"/>
          </w:rPr>
          <w:t xml:space="preserve">https://doi.org/10.1007/s11575-007-0024-2</w:t>
        </w:r>
      </w:hyperlink>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93">
        <w:r>
          <w:rPr>
            <w:rStyle w:val="Hyperlink"/>
          </w:rPr>
          <w:t xml:space="preserve">https://doi.org/10.1057/s41267-017-0120-x</w:t>
        </w:r>
      </w:hyperlink>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94">
        <w:r>
          <w:rPr>
            <w:rStyle w:val="Hyperlink"/>
          </w:rPr>
          <w:t xml:space="preserve">https://doi.org/10.1057/palgrave.jibs.8400390</w:t>
        </w:r>
      </w:hyperlink>
    </w:p>
    <w:p>
      <w:pPr>
        <w:pStyle w:val="BodyText"/>
      </w:pP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5">
        <w:r>
          <w:rPr>
            <w:rStyle w:val="Hyperlink"/>
          </w:rPr>
          <w:t xml:space="preserve">https://doi.org/10.1002/1097-0266(200010/11)21:10/11%3C1105::AID-SMJ133%3E3.0.CO;2-E</w:t>
        </w:r>
      </w:hyperlink>
    </w:p>
    <w:p>
      <w:pPr>
        <w:pStyle w:val="BodyText"/>
      </w:pPr>
      <w:r>
        <w:t xml:space="preserve">Goldfarb, A., &amp; Tucker, C. (2019). Digital economics.</w:t>
      </w:r>
      <w:r>
        <w:t xml:space="preserve"> </w:t>
      </w:r>
      <w:r>
        <w:rPr>
          <w:iCs/>
          <w:i/>
        </w:rPr>
        <w:t xml:space="preserve">Journal of Economic Literature, 57</w:t>
      </w:r>
      <w:r>
        <w:t xml:space="preserve">(1), 3–43.</w:t>
      </w:r>
      <w:r>
        <w:t xml:space="preserve"> </w:t>
      </w:r>
      <w:hyperlink r:id="rId96">
        <w:r>
          <w:rPr>
            <w:rStyle w:val="Hyperlink"/>
          </w:rPr>
          <w:t xml:space="preserve">https://doi.org/10.1257/jel.20171452</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7">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8">
        <w:r>
          <w:rPr>
            <w:rStyle w:val="Hyperlink"/>
          </w:rPr>
          <w:t xml:space="preserve">https://doi.org/10.1111/joms.12639</w:t>
        </w:r>
      </w:hyperlink>
    </w:p>
    <w:p>
      <w:pPr>
        <w:pStyle w:val="BodyText"/>
      </w:pPr>
      <w:r>
        <w:t xml:space="preserve">Heckman, J. J. (1979). Sample selection bias as a specification error.</w:t>
      </w:r>
      <w:r>
        <w:t xml:space="preserve"> </w:t>
      </w:r>
      <w:r>
        <w:rPr>
          <w:iCs/>
          <w:i/>
        </w:rPr>
        <w:t xml:space="preserve">Econometrica, 47</w:t>
      </w:r>
      <w:r>
        <w:t xml:space="preserve">(1), 153–161.</w:t>
      </w:r>
      <w:r>
        <w:t xml:space="preserve"> </w:t>
      </w:r>
      <w:hyperlink r:id="rId99">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100">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101">
        <w:r>
          <w:rPr>
            <w:rStyle w:val="Hyperlink"/>
          </w:rPr>
          <w:t xml:space="preserve">https://doi.org/10.1002/gsj.8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102">
        <w:r>
          <w:rPr>
            <w:rStyle w:val="Hyperlink"/>
          </w:rPr>
          <w:t xml:space="preserve">https://www.itu.int/en/ITU-D/Statistics/Pages/publications/wtid.aspx</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103">
        <w:r>
          <w:rPr>
            <w:rStyle w:val="Hyperlink"/>
          </w:rPr>
          <w:t xml:space="preserve">https://doi.org/10.1002/smj.2379</w:t>
        </w:r>
      </w:hyperlink>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104">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5">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6">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7">
        <w:r>
          <w:rPr>
            <w:rStyle w:val="Hyperlink"/>
          </w:rPr>
          <w:t xml:space="preserve">https://doi.org/10.2307/20159604</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8">
        <w:r>
          <w:rPr>
            <w:rStyle w:val="Hyperlink"/>
          </w:rPr>
          <w:t xml:space="preserve">https://doi.org/10.1177/0149206315624963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9">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10">
        <w:r>
          <w:rPr>
            <w:rStyle w:val="Hyperlink"/>
          </w:rPr>
          <w:t xml:space="preserve">https://doi.org/10.1080/07350015.2016.1227711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11">
        <w:r>
          <w:rPr>
            <w:rStyle w:val="Hyperlink"/>
          </w:rPr>
          <w:t xml:space="preserve">https://doi.org/10.1111/j.1745-9125.1998.tb01268.x</w:t>
        </w:r>
      </w:hyperlink>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12">
        <w:r>
          <w:rPr>
            <w:rStyle w:val="Hyperlink"/>
          </w:rPr>
          <w:t xml:space="preserve">https://doi.org/10.1057/s41267-019-00269-x</w:t>
        </w:r>
      </w:hyperlink>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13">
        <w:r>
          <w:rPr>
            <w:rStyle w:val="Hyperlink"/>
          </w:rPr>
          <w:t xml:space="preserve">https://doi.org/10.1002/smj.3087</w:t>
        </w:r>
      </w:hyperlink>
    </w:p>
    <w:p>
      <w:pPr>
        <w:pStyle w:val="BodyText"/>
      </w:pP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14">
        <w:r>
          <w:rPr>
            <w:rStyle w:val="Hyperlink"/>
          </w:rPr>
          <w:t xml:space="preserve">https://english.luatvietnam.vn/decision-no-749-qd-ttg-on-approving-the-national-digital-transformation-program-until-2025-with-a-vision-184241-doc1.html</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5">
        <w:r>
          <w:rPr>
            <w:rStyle w:val="Hyperlink"/>
          </w:rPr>
          <w:t xml:space="preserve">https://doi.org/10.1177/0149206319846272</w:t>
        </w:r>
      </w:hyperlink>
    </w:p>
    <w:p>
      <w:pPr>
        <w:pStyle w:val="BodyText"/>
      </w:pP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6">
        <w:r>
          <w:rPr>
            <w:rStyle w:val="Hyperlink"/>
          </w:rPr>
          <w:t xml:space="preserve">https://doi.org/10.2307/2171753</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7">
        <w:r>
          <w:rPr>
            <w:rStyle w:val="Hyperlink"/>
          </w:rPr>
          <w:t xml:space="preserve">https://doi.org/10.1002/gsj.1336</w:t>
        </w:r>
      </w:hyperlink>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8">
        <w:r>
          <w:rPr>
            <w:rStyle w:val="Hyperlink"/>
          </w:rPr>
          <w:t xml:space="preserve">https://doi.org/10.1108/MBR-05-2017-0028</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9">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20">
        <w:r>
          <w:rPr>
            <w:rStyle w:val="Hyperlink"/>
          </w:rPr>
          <w:t xml:space="preserve">https://doi.org/10.1002/gsj.1375</w:t>
        </w:r>
      </w:hyperlink>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21">
        <w:r>
          <w:rPr>
            <w:rStyle w:val="Hyperlink"/>
          </w:rPr>
          <w:t xml:space="preserve">https://doi.org/10.1057/s41267-017-0107-7</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22">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23">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24">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5">
        <w:r>
          <w:rPr>
            <w:rStyle w:val="Hyperlink"/>
          </w:rPr>
          <w:t xml:space="preserve">https://doi.org/10.1111/j.1467-9701.2007.00872.x</w:t>
        </w:r>
      </w:hyperlink>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6">
        <w:r>
          <w:rPr>
            <w:rStyle w:val="Hyperlink"/>
          </w:rPr>
          <w:t xml:space="preserve">https://doi.org/10.1002/smj.2995</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7">
        <w:r>
          <w:rPr>
            <w:rStyle w:val="Hyperlink"/>
          </w:rPr>
          <w:t xml:space="preserve">https://www.enterprisesurveys.org/en/enterprisesurveys</w:t>
        </w:r>
      </w:hyperlink>
    </w:p>
    <w:p>
      <w:pPr>
        <w:pStyle w:val="BodyText"/>
      </w:pP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8">
        <w:r>
          <w:rPr>
            <w:rStyle w:val="Hyperlink"/>
          </w:rPr>
          <w:t xml:space="preserve">https://databank.worldbank.org/source/world-development-indicators</w:t>
        </w:r>
      </w:hyperlink>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9">
        <w:r>
          <w:rPr>
            <w:rStyle w:val="Hyperlink"/>
          </w:rPr>
          <w:t xml:space="preserve">https://doi.org/10.1111/j.1467-6486.2005.00487.x</w:t>
        </w:r>
      </w:hyperlink>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30">
        <w:r>
          <w:rPr>
            <w:rStyle w:val="Hyperlink"/>
          </w:rPr>
          <w:t xml:space="preserve">https://doi.org/10.1007/s11575-022-00466-1</w:t>
        </w:r>
      </w:hyperlink>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31">
        <w:r>
          <w:rPr>
            <w:rStyle w:val="Hyperlink"/>
          </w:rPr>
          <w:t xml:space="preserve">https://doi.org/10.1016/j.jwb.2015.09.001</w:t>
        </w:r>
      </w:hyperlink>
    </w:p>
    <w:bookmarkEnd w:id="132"/>
    <w:bookmarkEnd w:id="13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4" Target="http://www.enterprisesurveys.org;" TargetMode="External" /><Relationship Type="http://schemas.openxmlformats.org/officeDocument/2006/relationships/hyperlink" Id="rId128" Target="https://databank.worldbank.org/source/world-development-indicators" TargetMode="External" /><Relationship Type="http://schemas.openxmlformats.org/officeDocument/2006/relationships/hyperlink" Id="rId95" Target="https://doi.org/10.1002/1097-0266(200010/11)21:10/11%3C1105::AID-SMJ133%3E3.0.CO;2-E" TargetMode="External" /><Relationship Type="http://schemas.openxmlformats.org/officeDocument/2006/relationships/hyperlink" Id="rId117" Target="https://doi.org/10.1002/gsj.1336" TargetMode="External" /><Relationship Type="http://schemas.openxmlformats.org/officeDocument/2006/relationships/hyperlink" Id="rId120" Target="https://doi.org/10.1002/gsj.1375" TargetMode="External" /><Relationship Type="http://schemas.openxmlformats.org/officeDocument/2006/relationships/hyperlink" Id="rId101" Target="https://doi.org/10.1002/gsj.8" TargetMode="External" /><Relationship Type="http://schemas.openxmlformats.org/officeDocument/2006/relationships/hyperlink" Id="rId103" Target="https://doi.org/10.1002/smj.2379" TargetMode="External" /><Relationship Type="http://schemas.openxmlformats.org/officeDocument/2006/relationships/hyperlink" Id="rId97" Target="https://doi.org/10.1002/smj.2399" TargetMode="External" /><Relationship Type="http://schemas.openxmlformats.org/officeDocument/2006/relationships/hyperlink" Id="rId90" Target="https://doi.org/10.1002/smj.2475" TargetMode="External" /><Relationship Type="http://schemas.openxmlformats.org/officeDocument/2006/relationships/hyperlink" Id="rId126" Target="https://doi.org/10.1002/smj.2995" TargetMode="External" /><Relationship Type="http://schemas.openxmlformats.org/officeDocument/2006/relationships/hyperlink" Id="rId113" Target="https://doi.org/10.1002/smj.3087" TargetMode="External" /><Relationship Type="http://schemas.openxmlformats.org/officeDocument/2006/relationships/hyperlink" Id="rId119" Target="https://doi.org/10.1002/smj.640" TargetMode="External" /><Relationship Type="http://schemas.openxmlformats.org/officeDocument/2006/relationships/hyperlink" Id="rId100" Target="https://doi.org/10.1007/s11575-007-0023-3" TargetMode="External" /><Relationship Type="http://schemas.openxmlformats.org/officeDocument/2006/relationships/hyperlink" Id="rId92" Target="https://doi.org/10.1007/s11575-007-0024-2" TargetMode="External" /><Relationship Type="http://schemas.openxmlformats.org/officeDocument/2006/relationships/hyperlink" Id="rId130" Target="https://doi.org/10.1007/s11575-022-00466-1" TargetMode="External" /><Relationship Type="http://schemas.openxmlformats.org/officeDocument/2006/relationships/hyperlink" Id="rId105" Target="https://doi.org/10.1016/0305-750X(92)90097-F" TargetMode="External" /><Relationship Type="http://schemas.openxmlformats.org/officeDocument/2006/relationships/hyperlink" Id="rId122" Target="https://doi.org/10.1016/j.jbusres.2019.09.022" TargetMode="External" /><Relationship Type="http://schemas.openxmlformats.org/officeDocument/2006/relationships/hyperlink" Id="rId124" Target="https://doi.org/10.1016/j.jsis.2019.01.003" TargetMode="External" /><Relationship Type="http://schemas.openxmlformats.org/officeDocument/2006/relationships/hyperlink" Id="rId104" Target="https://doi.org/10.1016/j.jwb.2015.08.011" TargetMode="External" /><Relationship Type="http://schemas.openxmlformats.org/officeDocument/2006/relationships/hyperlink" Id="rId131" Target="https://doi.org/10.1016/j.jwb.2015.09.001" TargetMode="External" /><Relationship Type="http://schemas.openxmlformats.org/officeDocument/2006/relationships/hyperlink" Id="rId84" Target="https://doi.org/10.1016/j.leaqua.2010.10.010" TargetMode="External" /><Relationship Type="http://schemas.openxmlformats.org/officeDocument/2006/relationships/hyperlink" Id="rId109" Target="https://doi.org/10.1016/j.respol.2019.03.018" TargetMode="External" /><Relationship Type="http://schemas.openxmlformats.org/officeDocument/2006/relationships/hyperlink" Id="rId88" Target="https://doi.org/10.1057/jibs.2015.20" TargetMode="External" /><Relationship Type="http://schemas.openxmlformats.org/officeDocument/2006/relationships/hyperlink" Id="rId94" Target="https://doi.org/10.1057/palgrave.jibs.8400390" TargetMode="External" /><Relationship Type="http://schemas.openxmlformats.org/officeDocument/2006/relationships/hyperlink" Id="rId121" Target="https://doi.org/10.1057/s41267-017-0107-7" TargetMode="External" /><Relationship Type="http://schemas.openxmlformats.org/officeDocument/2006/relationships/hyperlink" Id="rId93" Target="https://doi.org/10.1057/s41267-017-0120-x" TargetMode="External" /><Relationship Type="http://schemas.openxmlformats.org/officeDocument/2006/relationships/hyperlink" Id="rId85" Target="https://doi.org/10.1057/s41267-019-00243-7" TargetMode="External" /><Relationship Type="http://schemas.openxmlformats.org/officeDocument/2006/relationships/hyperlink" Id="rId112" Target="https://doi.org/10.1057/s41267-019-00269-x" TargetMode="External" /><Relationship Type="http://schemas.openxmlformats.org/officeDocument/2006/relationships/hyperlink" Id="rId110" Target="https://doi.org/10.1080/07350015.2016.1227711" TargetMode="External" /><Relationship Type="http://schemas.openxmlformats.org/officeDocument/2006/relationships/hyperlink" Id="rId118" Target="https://doi.org/10.1108/MBR-05-2017-0028" TargetMode="External" /><Relationship Type="http://schemas.openxmlformats.org/officeDocument/2006/relationships/hyperlink" Id="rId129" Target="https://doi.org/10.1111/j.1467-6486.2005.00487.x" TargetMode="External" /><Relationship Type="http://schemas.openxmlformats.org/officeDocument/2006/relationships/hyperlink" Id="rId125" Target="https://doi.org/10.1111/j.1467-9701.2007.00872.x" TargetMode="External" /><Relationship Type="http://schemas.openxmlformats.org/officeDocument/2006/relationships/hyperlink" Id="rId123" Target="https://doi.org/10.1111/j.1468-0084.1979.mp41004002.x" TargetMode="External" /><Relationship Type="http://schemas.openxmlformats.org/officeDocument/2006/relationships/hyperlink" Id="rId106" Target="https://doi.org/10.1111/j.1468-0084.2009.00569.x" TargetMode="External" /><Relationship Type="http://schemas.openxmlformats.org/officeDocument/2006/relationships/hyperlink" Id="rId111" Target="https://doi.org/10.1111/j.1745-9125.1998.tb01268.x" TargetMode="External" /><Relationship Type="http://schemas.openxmlformats.org/officeDocument/2006/relationships/hyperlink" Id="rId98" Target="https://doi.org/10.1111/joms.12639" TargetMode="External" /><Relationship Type="http://schemas.openxmlformats.org/officeDocument/2006/relationships/hyperlink" Id="rId108" Target="https://doi.org/10.1177/0149206315624963" TargetMode="External" /><Relationship Type="http://schemas.openxmlformats.org/officeDocument/2006/relationships/hyperlink" Id="rId115" Target="https://doi.org/10.1177/0149206319846272" TargetMode="External" /><Relationship Type="http://schemas.openxmlformats.org/officeDocument/2006/relationships/hyperlink" Id="rId83" Target="https://doi.org/10.1177/1094428119836485" TargetMode="External" /><Relationship Type="http://schemas.openxmlformats.org/officeDocument/2006/relationships/hyperlink" Id="rId96" Target="https://doi.org/10.1257/jel.20171452" TargetMode="External" /><Relationship Type="http://schemas.openxmlformats.org/officeDocument/2006/relationships/hyperlink" Id="rId86" Target="https://doi.org/10.1257/jep.21.3.105" TargetMode="External" /><Relationship Type="http://schemas.openxmlformats.org/officeDocument/2006/relationships/hyperlink" Id="rId89" Target="https://doi.org/10.1257/mac.20180386" TargetMode="External" /><Relationship Type="http://schemas.openxmlformats.org/officeDocument/2006/relationships/hyperlink" Id="rId99" Target="https://doi.org/10.2307/1912352" TargetMode="External" /><Relationship Type="http://schemas.openxmlformats.org/officeDocument/2006/relationships/hyperlink" Id="rId107" Target="https://doi.org/10.2307/20159604" TargetMode="External" /><Relationship Type="http://schemas.openxmlformats.org/officeDocument/2006/relationships/hyperlink" Id="rId116" Target="https://doi.org/10.2307/2171753" TargetMode="External" /><Relationship Type="http://schemas.openxmlformats.org/officeDocument/2006/relationships/hyperlink" Id="rId91" Target="https://doi.org/10.2307/2393553" TargetMode="External" /><Relationship Type="http://schemas.openxmlformats.org/officeDocument/2006/relationships/hyperlink" Id="rId87" Target="https://doi.org/10.25300/misq/2013/37:2.3" TargetMode="External" /><Relationship Type="http://schemas.openxmlformats.org/officeDocument/2006/relationships/hyperlink" Id="rId114" Target="https://english.luatvietnam.vn/decision-no-749-qd-ttg-on-approving-the-national-digital-transformation-program-until-2025-with-a-vision-184241-doc1.html"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127" Target="https://www.enterprisesurveys.org/en/enterprisesurveys" TargetMode="External" /><Relationship Type="http://schemas.openxmlformats.org/officeDocument/2006/relationships/hyperlink" Id="rId102" Target="https://www.itu.int/en/ITU-D/Statistics/Pages/publications/wtid.aspx"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2026-06-23T09:46:08Z</dcterms:created>
  <dcterms:modified xsi:type="dcterms:W3CDTF">2026-06-23T09:46:08Z</dcterms:modified>
</cp:coreProperties>
</file>

<file path=docProps/custom.xml><?xml version="1.0" encoding="utf-8"?>
<Properties xmlns="http://schemas.openxmlformats.org/officeDocument/2006/custom-properties" xmlns:vt="http://schemas.openxmlformats.org/officeDocument/2006/docPropsVTypes"/>
</file>