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an emerging market and examines how foreign-technology capability and foundational digital adoption are associated with firm productivity under conditions of institutional and digital transition. Focusing on Vietnam, the study asks whether export intensity is nonlinearly associated with labour productivity and whether the two capability constructs play distinct, wave-specific roles.</w:t>
      </w:r>
    </w:p>
    <w:p>
      <w:pPr>
        <w:pStyle w:val="BodyText"/>
      </w:pPr>
      <w:r>
        <w:rPr>
          <w:bCs/>
          <w:b/>
        </w:rPr>
        <w:t xml:space="preserve">Design/methodology/approach.</w:t>
      </w:r>
      <w:r>
        <w:t xml:space="preserve"> </w:t>
      </w:r>
      <w:r>
        <w:t xml:space="preserve">The study uses three waves of World Bank Enterprise Survey microdata for Vietnam (2009, 2015 and 2023; pooled N = 2,958) and estimates wave-specific and pooled ordinary least squares (OLS) models with HC1 robust standard errors, a quadratic export-intensity term, and interaction specifications. A Technological Capability Index (TCI) built from internationally recognised quality certification and foreign-licensed technology is distinguished from a foundational Digital Adoption Index (DAI) based on website presence, with no shared items between the two constructs.</w:t>
      </w:r>
    </w:p>
    <w:p>
      <w:pPr>
        <w:pStyle w:val="BodyText"/>
      </w:pPr>
      <w:r>
        <w:rPr>
          <w:bCs/>
          <w:b/>
        </w:rPr>
        <w:t xml:space="preserve">Findings.</w:t>
      </w:r>
      <w:r>
        <w:t xml:space="preserve"> </w:t>
      </w:r>
      <w:r>
        <w:t xml:space="preserve">The productivity returns of internationalisation concentrate at the participation margin, the step from non-exporting to exporting, while within-exporter intensity yields diminishing to null marginal returns. The pooled inverted-U pattern (turning points 39-46% of foreign sales to total sales) is identified mainly through this participation step rather than through dense curvature within the exporter subsample. Technological capability shows a positive productivity association in all three waves; foundational digital adoption is positive in 2009 and 2023 but null in 2015, and instrumental-variable estimation indicates that the OLS-estimated positive digital-adoption association is likely selection-driven rather than causal.</w:t>
      </w:r>
    </w:p>
    <w:p>
      <w:pPr>
        <w:pStyle w:val="BodyText"/>
      </w:pPr>
      <w:r>
        <w:rPr>
          <w:bCs/>
          <w:b/>
        </w:rPr>
        <w:t xml:space="preserve">Originality/value.</w:t>
      </w:r>
      <w:r>
        <w:t xml:space="preserve"> </w:t>
      </w:r>
      <w:r>
        <w:t xml:space="preserve">The study contributes to emerging-market international business research by distinguishing foreign-technology capability from foundational digital adoption and by showing that pooled digital effects can mask substantial temporal heterogeneity. The findings suggest that the productivity relevance of basic digital adoption is context-sensitive and wave-specific rather than uniformly stable across stages of internationalisation.</w:t>
      </w:r>
    </w:p>
    <w:p>
      <w:pPr>
        <w:pStyle w:val="BodyText"/>
      </w:pPr>
      <w:r>
        <w:rPr>
          <w:bCs/>
          <w:b/>
        </w:rPr>
        <w:t xml:space="preserve">Keywords:</w:t>
      </w:r>
      <w:r>
        <w:t xml:space="preserve"> </w:t>
      </w:r>
      <w:r>
        <w:t xml:space="preserve">internationalisation-performance; emerging markets; digital adoption; technological capability; Vietnam; firm productivity.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0"/>
    <w:bookmarkStart w:id="21" w:name="highlights"/>
    <w:p>
      <w:pPr>
        <w:pStyle w:val="Heading2"/>
      </w:pPr>
      <w:r>
        <w:t xml:space="preserve">Highlights</w:t>
      </w:r>
    </w:p>
    <w:p>
      <w:pPr>
        <w:pStyle w:val="FirstParagraph"/>
      </w:pPr>
      <w:r>
        <w:t xml:space="preserve">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Technological capability and digital adoption are separated as non-overlapping primary</w:t>
      </w:r>
      <w:r>
        <w:t xml:space="preserve"> </w:t>
      </w:r>
      <w:r>
        <w:t xml:space="preserve">measures:</w:t>
      </w:r>
      <w:r>
        <w:t xml:space="preserve"> </w:t>
      </w:r>
      <m:oMath>
        <m:acc>
          <m:accPr>
            <m:chr m:val="̃"/>
          </m:accPr>
          <m:e>
            <m:r>
              <m:rPr>
                <m:sty m:val="p"/>
              </m:rPr>
              <m:t>T</m:t>
            </m:r>
            <m:r>
              <m:rPr>
                <m:sty m:val="p"/>
              </m:rPr>
              <m:t>C</m:t>
            </m:r>
            <m:r>
              <m:rPr>
                <m:sty m:val="p"/>
              </m:rPr>
              <m:t>I</m:t>
            </m:r>
          </m:e>
        </m:acc>
      </m:oMath>
      <w:r>
        <w:t xml:space="preserve"> </w:t>
      </w:r>
      <w:r>
        <w:t xml:space="preserve">is the within-wave standardised mean of quality certification and foreignlicensed technology, whereas</w:t>
      </w:r>
      <w:r>
        <w:t xml:space="preserve"> </w:t>
      </w:r>
      <m:oMath>
        <m:acc>
          <m:accPr>
            <m:chr m:val="̃"/>
          </m:accPr>
          <m:e>
            <m:r>
              <m:rPr>
                <m:sty m:val="p"/>
              </m:rPr>
              <m:t>D</m:t>
            </m:r>
            <m:r>
              <m:rPr>
                <m:sty m:val="p"/>
              </m:rPr>
              <m:t>A</m:t>
            </m:r>
            <m:r>
              <m:rPr>
                <m:sty m:val="p"/>
              </m:rPr>
              <m:t>I</m:t>
            </m:r>
          </m:e>
        </m:acc>
      </m:oMath>
      <w:r>
        <w:t xml:space="preserve"> </w:t>
      </w:r>
      <w:r>
        <w:t xml:space="preserve">is the within-wave standardised website-based digitalpresence indicator.</w:t>
      </w:r>
    </w:p>
    <w:p>
      <w:pPr>
        <w:pStyle w:val="BodyText"/>
      </w:pPr>
      <m:oMath>
        <m:acc>
          <m:accPr>
            <m:chr m:val="̃"/>
          </m:accPr>
          <m:e>
            <m:r>
              <m:rPr>
                <m:sty m:val="p"/>
              </m:rPr>
              <m:t>T</m:t>
            </m:r>
            <m:r>
              <m:rPr>
                <m:sty m:val="p"/>
              </m:rPr>
              <m:t>C</m:t>
            </m:r>
            <m:r>
              <m:rPr>
                <m:sty m:val="p"/>
              </m:rPr>
              <m:t>I</m:t>
            </m:r>
          </m:e>
        </m:acc>
      </m:oMath>
      <w:r>
        <w:t xml:space="preserve"> </w:t>
      </w:r>
      <w:r>
        <w:t xml:space="preserve">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m:oMath>
        <m:acc>
          <m:accPr>
            <m:chr m:val="̃"/>
          </m:accPr>
          <m:e>
            <m:r>
              <m:rPr>
                <m:sty m:val="p"/>
              </m:rPr>
              <m:t>D</m:t>
            </m:r>
            <m:r>
              <m:rPr>
                <m:sty m:val="p"/>
              </m:rPr>
              <m:t>A</m:t>
            </m:r>
            <m:r>
              <m:rPr>
                <m:sty m:val="p"/>
              </m:rPr>
              <m:t>I</m:t>
            </m:r>
          </m:e>
        </m:acc>
      </m:oMath>
      <w:r>
        <w:t xml:space="preserve"> </w:t>
      </w:r>
      <w:r>
        <w:t xml:space="preserve">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DAI moderation is concentrated in 2023, where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acc>
          <m:accPr>
            <m:chr m:val="̃"/>
          </m:accPr>
          <m:e>
            <m:r>
              <m:rPr>
                <m:sty m:val="p"/>
              </m:rPr>
              <m:t>T</m:t>
            </m:r>
            <m:r>
              <m:rPr>
                <m:sty m:val="p"/>
              </m:rPr>
              <m:t>C</m:t>
            </m:r>
            <m:r>
              <m:rPr>
                <m:sty m:val="p"/>
              </m:rPr>
              <m:t>I</m:t>
            </m:r>
          </m:e>
        </m:acc>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sty m:val="p"/>
              </m:rPr>
              <m:t>T</m:t>
            </m:r>
            <m:r>
              <m:rPr>
                <m:sty m:val="p"/>
              </m:rPr>
              <m:t>C</m:t>
            </m:r>
            <m:r>
              <m:rPr>
                <m:sty m:val="p"/>
              </m:rPr>
              <m:t>I</m:t>
            </m:r>
          </m:e>
          <m:sub>
            <m:r>
              <m:rPr>
                <m:nor/>
                <m:sty m:val="p"/>
              </m:rPr>
              <m:t>full</m:t>
            </m:r>
          </m:sub>
        </m:sSub>
      </m:oMath>
      <w:r>
        <w:t xml:space="preserve">,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w:t>
      </w:r>
      <m:oMath>
        <m:acc>
          <m:accPr>
            <m:chr m:val="̃"/>
          </m:accPr>
          <m:e>
            <m:r>
              <m:rPr>
                <m:sty m:val="p"/>
              </m:rPr>
              <m:t>T</m:t>
            </m:r>
            <m:r>
              <m:rPr>
                <m:sty m:val="p"/>
              </m:rPr>
              <m:t>C</m:t>
            </m:r>
            <m:r>
              <m:rPr>
                <m:sty m:val="p"/>
              </m:rPr>
              <m:t>I</m:t>
            </m:r>
          </m:e>
        </m:acc>
      </m:oMath>
      <w:r>
        <w:t xml:space="preserve">)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acc>
          <m:accPr>
            <m:chr m:val="̃"/>
          </m:accPr>
          <m:e>
            <m:r>
              <m:rPr>
                <m:sty m:val="p"/>
              </m:rPr>
              <m:t>D</m:t>
            </m:r>
            <m:r>
              <m:rPr>
                <m:sty m:val="p"/>
              </m:rPr>
              <m:t>A</m:t>
            </m:r>
            <m:r>
              <m:rPr>
                <m:sty m:val="p"/>
              </m:rPr>
              <m:t>I</m:t>
            </m:r>
          </m:e>
        </m:acc>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dynamic digital capability (data-driven decision-making, AI integration). The primary</w:t>
      </w:r>
      <w:r>
        <w:t xml:space="preserve"> </w:t>
      </w:r>
      <m:oMath>
        <m:acc>
          <m:accPr>
            <m:chr m:val="̃"/>
          </m:accPr>
          <m:e>
            <m:r>
              <m:rPr>
                <m:sty m:val="p"/>
              </m:rPr>
              <m:t>D</m:t>
            </m:r>
            <m:r>
              <m:rPr>
                <m:sty m:val="p"/>
              </m:rPr>
              <m:t>A</m:t>
            </m:r>
            <m:r>
              <m:rPr>
                <m:sty m:val="p"/>
              </m:rPr>
              <m:t>I</m:t>
            </m:r>
          </m:e>
        </m:acc>
      </m:oMath>
    </w:p>
    <w:p>
      <w:pPr>
        <w:pStyle w:val="BodyText"/>
      </w:pPr>
      <w:r>
        <w:t xml:space="preserve">anchors at Tier 1 only. A Tier 3-style extension (</w:t>
      </w:r>
      <m:oMath>
        <m:sSub>
          <m:e>
            <m:r>
              <m:rPr>
                <m:sty m:val="p"/>
              </m:rPr>
              <m:t>D</m:t>
            </m:r>
            <m:r>
              <m:rPr>
                <m:sty m:val="p"/>
              </m:rPr>
              <m:t>A</m:t>
            </m:r>
            <m:r>
              <m:rPr>
                <m:sty m:val="p"/>
              </m:rPr>
              <m:t>I</m:t>
            </m:r>
          </m:e>
          <m:sub>
            <m:r>
              <m:rPr>
                <m:nor/>
                <m:sty m:val="p"/>
              </m:rPr>
              <m:t>rich</m:t>
            </m:r>
          </m:sub>
        </m:sSub>
      </m:oMath>
      <w:r>
        <w:t xml:space="preserve">)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acc>
          <m:accPr>
            <m:chr m:val="̃"/>
          </m:accPr>
          <m:e>
            <m:r>
              <m:rPr>
                <m:sty m:val="p"/>
              </m:rPr>
              <m:t>D</m:t>
            </m:r>
            <m:r>
              <m:rPr>
                <m:sty m:val="p"/>
              </m:rPr>
              <m:t>A</m:t>
            </m:r>
            <m:r>
              <m:rPr>
                <m:sty m:val="p"/>
              </m:rPr>
              <m:t>I</m:t>
            </m:r>
          </m:e>
        </m:acc>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H3. Website-based digital presence (</w:t>
      </w:r>
      <m:oMath>
        <m:acc>
          <m:accPr>
            <m:chr m:val="̃"/>
          </m:accPr>
          <m:e>
            <m:r>
              <m:rPr>
                <m:sty m:val="p"/>
              </m:rPr>
              <m:t>D</m:t>
            </m:r>
            <m:r>
              <m:rPr>
                <m:sty m:val="p"/>
              </m:rPr>
              <m:t>A</m:t>
            </m:r>
            <m:r>
              <m:rPr>
                <m:sty m:val="p"/>
              </m:rPr>
              <m:t>I</m:t>
            </m:r>
          </m:e>
        </m:acc>
      </m:oMath>
      <w:r>
        <w:t xml:space="preserve">) is positively associated with firm performance in Vietnam on average.</w:t>
      </w:r>
    </w:p>
    <w:bookmarkEnd w:id="29"/>
    <w:bookmarkStart w:id="33" w:name="Xa301591a4bdc42129e76c2a2b73514232150381"/>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w:t>
      </w:r>
      <m:oMath>
        <m:acc>
          <m:accPr>
            <m:chr m:val="̃"/>
          </m:accPr>
          <m:e>
            <m:r>
              <m:rPr>
                <m:sty m:val="p"/>
              </m:rPr>
              <m:t>D</m:t>
            </m:r>
            <m:r>
              <m:rPr>
                <m:sty m:val="p"/>
              </m:rPr>
              <m:t>A</m:t>
            </m:r>
            <m:r>
              <m:rPr>
                <m:sty m:val="p"/>
              </m:rPr>
              <m:t>I</m:t>
            </m:r>
          </m:e>
        </m:acc>
      </m:oMath>
      <w:r>
        <w:t xml:space="preserve">)</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w:t>
      </w:r>
      <m:oMath>
        <m:acc>
          <m:accPr>
            <m:chr m:val="̃"/>
          </m:accPr>
          <m:e>
            <m:r>
              <m:rPr>
                <m:sty m:val="p"/>
              </m:rPr>
              <m:t>D</m:t>
            </m:r>
            <m:r>
              <m:rPr>
                <m:sty m:val="p"/>
              </m:rPr>
              <m:t>A</m:t>
            </m:r>
            <m:r>
              <m:rPr>
                <m:sty m:val="p"/>
              </m:rPr>
              <m:t>I</m:t>
            </m:r>
          </m:e>
        </m:acc>
      </m:oMath>
      <w:r>
        <w:t xml:space="preserve">)</w:t>
      </w:r>
    </w:p>
    <w:p>
      <w:pPr>
        <w:pStyle w:val="BodyText"/>
      </w:pPr>
      <w:r>
        <w:t xml:space="preserve">Controls:</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The independent variable (internationalisation,</w:t>
      </w:r>
      <w:r>
        <w:t xml:space="preserve"> </w:t>
      </w:r>
      <m:oMath>
        <m:sSup>
          <m:e>
            <m:r>
              <m:rPr>
                <m:sty m:val="p"/>
              </m:rPr>
              <m:t>F</m:t>
            </m:r>
            <m:r>
              <m:rPr>
                <m:sty m:val="p"/>
              </m:rPr>
              <m:t>S</m:t>
            </m:r>
            <m:r>
              <m:rPr>
                <m:sty m:val="p"/>
              </m:rPr>
              <m:t>T</m:t>
            </m:r>
            <m:r>
              <m:rPr>
                <m:sty m:val="p"/>
              </m:rPr>
              <m:t>S</m:t>
            </m:r>
          </m:e>
          <m:sup>
            <m:r>
              <m:t>c</m:t>
            </m:r>
          </m:sup>
        </m:sSup>
      </m:oMath>
      <w:r>
        <w:t xml:space="preserve"> </w:t>
      </w:r>
      <w:r>
        <w:t xml:space="preserve">and</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and the dependent variable (firm performance, ln labour productivity) anchor the IV–DV spine. Technological capability (</w:t>
      </w:r>
      <m:oMath>
        <m:acc>
          <m:accPr>
            <m:chr m:val="̃"/>
          </m:accPr>
          <m:e>
            <m:r>
              <m:rPr>
                <m:sty m:val="p"/>
              </m:rPr>
              <m:t>T</m:t>
            </m:r>
            <m:r>
              <m:rPr>
                <m:sty m:val="p"/>
              </m:rPr>
              <m:t>C</m:t>
            </m:r>
            <m:r>
              <m:rPr>
                <m:sty m:val="p"/>
              </m:rPr>
              <m:t>I</m:t>
            </m:r>
          </m:e>
        </m:acc>
      </m:oMath>
      <w:r>
        <w:t xml:space="preserve">) and foundational digital adoption (</w:t>
      </w:r>
      <m:oMath>
        <m:acc>
          <m:accPr>
            <m:chr m:val="̃"/>
          </m:accPr>
          <m:e>
            <m:r>
              <m:rPr>
                <m:sty m:val="p"/>
              </m:rPr>
              <m:t>D</m:t>
            </m:r>
            <m:r>
              <m:rPr>
                <m:sty m:val="p"/>
              </m:rPr>
              <m:t>A</m:t>
            </m:r>
            <m:r>
              <m:rPr>
                <m:sty m:val="p"/>
              </m:rPr>
              <m:t>I</m:t>
            </m:r>
          </m:e>
        </m:acc>
      </m:oMath>
      <w:r>
        <w:t xml:space="preserve">) act as direct effects (H2, H3) and as moderators of the FSTS curve (H2 moderation, H4 exploratory moderation). Controls are entered additively. Wave fixed effects apply to the pooled specification only.</w:t>
      </w:r>
    </w:p>
    <w:bookmarkEnd w:id="33"/>
    <w:bookmarkEnd w:id="34"/>
    <w:bookmarkStart w:id="39"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w:t>
      </w:r>
      <m:oMath>
        <m:r>
          <m:rPr>
            <m:sty m:val="p"/>
          </m:rPr>
          <m:t>ln</m:t>
        </m:r>
        <m:d>
          <m:dPr>
            <m:begChr m:val="("/>
            <m:endChr m:val=")"/>
            <m:sepChr m:val=""/>
            <m:grow/>
          </m:dPr>
          <m:e>
            <m:r>
              <m:rPr>
                <m:sty m:val="p"/>
              </m:rPr>
              <m:t>L</m:t>
            </m:r>
            <m:r>
              <m:rPr>
                <m:sty m:val="p"/>
              </m:rPr>
              <m:t>P</m:t>
            </m:r>
          </m:e>
        </m:d>
      </m:oMath>
      <w:r>
        <w:t xml:space="preserve">). Internationalisation is measured by direct-export intensity (FSTS), mean-centred within wave (</w:t>
      </w:r>
      <m:oMath>
        <m:sSup>
          <m:e>
            <m:r>
              <m:rPr>
                <m:sty m:val="p"/>
              </m:rPr>
              <m:t>F</m:t>
            </m:r>
            <m:r>
              <m:rPr>
                <m:sty m:val="p"/>
              </m:rPr>
              <m:t>S</m:t>
            </m:r>
            <m:r>
              <m:rPr>
                <m:sty m:val="p"/>
              </m:rPr>
              <m:t>T</m:t>
            </m:r>
            <m:r>
              <m:rPr>
                <m:sty m:val="p"/>
              </m:rPr>
              <m:t>S</m:t>
            </m:r>
          </m:e>
          <m:sup>
            <m:r>
              <m:t>c</m:t>
            </m:r>
          </m:sup>
        </m:sSup>
      </m:oMath>
      <w:r>
        <w:t xml:space="preserve">) and squared</w:t>
      </w:r>
    </w:p>
    <w:p>
      <w:pPr>
        <w:pStyle w:val="BodyText"/>
      </w:pPr>
      <w:r>
        <w:t xml:space="preserve">(</w:t>
      </w:r>
      <m:oMath>
        <m:sSup>
          <m:e>
            <m:r>
              <m:rPr>
                <m:sty m:val="p"/>
              </m:rPr>
              <m:t>F</m:t>
            </m:r>
            <m:r>
              <m:rPr>
                <m:sty m:val="p"/>
              </m:rPr>
              <m:t>S</m:t>
            </m:r>
            <m:r>
              <m:rPr>
                <m:sty m:val="p"/>
              </m:rPr>
              <m:t>T</m:t>
            </m:r>
            <m:r>
              <m:rPr>
                <m:sty m:val="p"/>
              </m:rPr>
              <m:t>S</m:t>
            </m:r>
          </m:e>
          <m:sup>
            <m:r>
              <m:t>c</m:t>
            </m:r>
          </m:sup>
        </m:sSup>
      </m:oMath>
      <w:r>
        <w:t xml:space="preserve"> </w:t>
      </w:r>
      <w:r>
        <w:t xml:space="preserve">)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w:t>
      </w:r>
      <m:oMath>
        <m:acc>
          <m:accPr>
            <m:chr m:val="̃"/>
          </m:accPr>
          <m:e>
            <m:r>
              <m:rPr>
                <m:sty m:val="p"/>
              </m:rPr>
              <m:t>T</m:t>
            </m:r>
            <m:r>
              <m:rPr>
                <m:sty m:val="p"/>
              </m:rPr>
              <m:t>C</m:t>
            </m:r>
            <m:r>
              <m:rPr>
                <m:sty m:val="p"/>
              </m:rPr>
              <m:t>I</m:t>
            </m:r>
          </m:e>
        </m:acc>
      </m:oMath>
      <w:r>
        <w:t xml:space="preserve">) is interpreted narrowly as a foreign-technology and standards capability measure, 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acc>
          <m:accPr>
            <m:chr m:val="̃"/>
          </m:accPr>
          <m:e>
            <m:r>
              <m:rPr>
                <m:sty m:val="p"/>
              </m:rPr>
              <m:t>D</m:t>
            </m:r>
            <m:r>
              <m:rPr>
                <m:sty m:val="p"/>
              </m:rPr>
              <m:t>A</m:t>
            </m:r>
            <m:r>
              <m:rPr>
                <m:sty m:val="p"/>
              </m:rPr>
              <m:t>I</m:t>
            </m:r>
          </m:e>
        </m:acc>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 so that the reported coefficients are comparable in standard-deviation units; the tilde notation</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marks the standardised variant used throughout the empirical specifications.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w:t>
      </w:r>
      <w:r>
        <w:t xml:space="preserve"> </w:t>
      </w:r>
      <w:r>
        <w:t xml:space="preserve">annual sales and l1 is permanent full-time employees. Internationalisation is FSTS = d3c / 100,</w:t>
      </w:r>
    </w:p>
    <w:p>
      <w:pPr>
        <w:pStyle w:val="BodyText"/>
      </w:pPr>
      <w:r>
        <w:t xml:space="preserve">mean-centred within wave (</w:t>
      </w:r>
      <m:oMath>
        <m:sSup>
          <m:e>
            <m:r>
              <m:rPr>
                <m:sty m:val="p"/>
              </m:rPr>
              <m:t>F</m:t>
            </m:r>
            <m:r>
              <m:rPr>
                <m:sty m:val="p"/>
              </m:rPr>
              <m:t>S</m:t>
            </m:r>
            <m:r>
              <m:rPr>
                <m:sty m:val="p"/>
              </m:rPr>
              <m:t>T</m:t>
            </m:r>
            <m:r>
              <m:rPr>
                <m:sty m:val="p"/>
              </m:rPr>
              <m:t>S</m:t>
            </m:r>
          </m:e>
          <m:sup>
            <m:r>
              <m:t>c</m:t>
            </m:r>
          </m:sup>
        </m:sSup>
      </m:oMath>
      <w:r>
        <w:t xml:space="preserve">) and squared (</w:t>
      </w:r>
      <m:oMath>
        <m:sSup>
          <m:e>
            <m:r>
              <m:rPr>
                <m:sty m:val="p"/>
              </m:rPr>
              <m:t>F</m:t>
            </m:r>
            <m:r>
              <m:rPr>
                <m:sty m:val="p"/>
              </m:rPr>
              <m:t>S</m:t>
            </m:r>
            <m:r>
              <m:rPr>
                <m:sty m:val="p"/>
              </m:rPr>
              <m:t>T</m:t>
            </m:r>
            <m:r>
              <m:rPr>
                <m:sty m:val="p"/>
              </m:rPr>
              <m:t>S</m:t>
            </m:r>
          </m:e>
          <m:sup>
            <m:r>
              <m:t>c</m:t>
            </m:r>
          </m:sup>
        </m:sSup>
      </m:oMath>
      <w:r>
        <w:t xml:space="preserve"> </w:t>
      </w:r>
      <w:r>
        <w:t xml:space="preserve">). The primary Technological Capability Index (</w:t>
      </w:r>
      <m:oMath>
        <m:acc>
          <m:accPr>
            <m:chr m:val="̃"/>
          </m:accPr>
          <m:e>
            <m:r>
              <m:rPr>
                <m:sty m:val="p"/>
              </m:rPr>
              <m:t>T</m:t>
            </m:r>
            <m:r>
              <m:rPr>
                <m:sty m:val="p"/>
              </m:rPr>
              <m:t>C</m:t>
            </m:r>
            <m:r>
              <m:rPr>
                <m:sty m:val="p"/>
              </m:rPr>
              <m:t>I</m:t>
            </m:r>
          </m:e>
        </m:acc>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acc>
          <m:accPr>
            <m:chr m:val="̃"/>
          </m:accPr>
          <m:e>
            <m:r>
              <m:rPr>
                <m:sty m:val="p"/>
              </m:rPr>
              <m:t>D</m:t>
            </m:r>
            <m:r>
              <m:rPr>
                <m:sty m:val="p"/>
              </m:rPr>
              <m:t>A</m:t>
            </m:r>
            <m:r>
              <m:rPr>
                <m:sty m:val="p"/>
              </m:rPr>
              <m:t>I</m:t>
            </m:r>
          </m:e>
        </m:acc>
      </m:oMath>
      <w:r>
        <w:t xml:space="preserve">) is the within-wave standardised</w:t>
      </w:r>
    </w:p>
    <w:p>
      <w:pPr>
        <w:pStyle w:val="BodyText"/>
      </w:pPr>
      <w:r>
        <w:t xml:space="preserve">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acc>
          <m:accPr>
            <m:chr m:val="̃"/>
          </m:accPr>
          <m:e>
            <m:r>
              <m:rPr>
                <m:sty m:val="p"/>
              </m:rPr>
              <m:t>D</m:t>
            </m:r>
            <m:r>
              <m:rPr>
                <m:sty m:val="p"/>
              </m:rPr>
              <m:t>A</m:t>
            </m:r>
            <m:r>
              <m:rPr>
                <m:sty m:val="p"/>
              </m:rPr>
              <m:t>I</m:t>
            </m:r>
          </m:e>
        </m:acc>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sty m:val="p"/>
              </m:rPr>
              <m:t>T</m:t>
            </m:r>
            <m:r>
              <m:rPr>
                <m:sty m:val="p"/>
              </m:rPr>
              <m:t>C</m:t>
            </m:r>
            <m:r>
              <m:rPr>
                <m:sty m:val="p"/>
              </m:rPr>
              <m:t>I</m:t>
            </m:r>
          </m:e>
          <m:sub>
            <m:r>
              <m:rPr>
                <m:nor/>
                <m:sty m:val="p"/>
              </m:rPr>
              <m:t>full</m:t>
            </m:r>
          </m:sub>
        </m:sSub>
      </m:oMath>
      <w:r>
        <w:t xml:space="preserve"> </w:t>
      </w:r>
      <w:r>
        <w:t xml:space="preserve">adds h1 (introduced new or significantly improved product) and h8 (R&amp;D expenditure</w:t>
      </w:r>
      <w:r>
        <w:t xml:space="preserve"> </w:t>
      </w:r>
      <w:r>
        <w:t xml:space="preserve">indicator) to the TCI items in 2015 and 2023, where h1 and h8 are present.</w:t>
      </w:r>
      <w:r>
        <w:t xml:space="preserve"> </w:t>
      </w:r>
      <m:oMath>
        <m:sSub>
          <m:e>
            <m:r>
              <m:rPr>
                <m:sty m:val="p"/>
              </m:rPr>
              <m:t>D</m:t>
            </m:r>
            <m:r>
              <m:rPr>
                <m:sty m:val="p"/>
              </m:rPr>
              <m:t>A</m:t>
            </m:r>
            <m:r>
              <m:rPr>
                <m:sty m:val="p"/>
              </m:rPr>
              <m:t>I</m:t>
            </m:r>
          </m:e>
          <m:sub>
            <m:r>
              <m:rPr>
                <m:nor/>
                <m:sty m:val="p"/>
              </m:rPr>
              <m:t>rich</m:t>
            </m:r>
          </m:sub>
        </m:sSub>
      </m:oMath>
      <w:r>
        <w:t xml:space="preserve">,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sty m:val="p"/>
              </m:rPr>
              <m:t>D</m:t>
            </m:r>
            <m:r>
              <m:rPr>
                <m:sty m:val="p"/>
              </m:rPr>
              <m:t>A</m:t>
            </m:r>
            <m:r>
              <m:rPr>
                <m:sty m:val="p"/>
              </m:rPr>
              <m:t>I</m:t>
            </m:r>
          </m:e>
          <m:sub>
            <m:r>
              <m:rPr>
                <m:nor/>
                <m:sty m:val="p"/>
              </m:rPr>
              <m:t>rich</m:t>
            </m:r>
          </m:sub>
        </m:sSub>
      </m:oMath>
      <w:r>
        <w:t xml:space="preserve"> </w:t>
      </w:r>
      <w:r>
        <w:t xml:space="preserve">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comparability note.</w:t>
      </w:r>
      <w:r>
        <w:t xml:space="preserve"> </w:t>
      </w:r>
      <w:r>
        <w:t xml:space="preserve">The</w:t>
      </w:r>
      <w:r>
        <w:t xml:space="preserve"> </w:t>
      </w:r>
      <m:oMath>
        <m:acc>
          <m:accPr>
            <m:chr m:val="̃"/>
          </m:accPr>
          <m:e>
            <m:r>
              <m:rPr>
                <m:sty m:val="p"/>
              </m:rPr>
              <m:t>D</m:t>
            </m:r>
            <m:r>
              <m:rPr>
                <m:sty m:val="p"/>
              </m:rPr>
              <m:t>A</m:t>
            </m:r>
            <m:r>
              <m:rPr>
                <m:sty m:val="p"/>
              </m:rPr>
              <m:t>I</m:t>
            </m:r>
          </m:e>
        </m:acc>
      </m:oMath>
      <w:r>
        <w:t xml:space="preserve"> </w:t>
      </w:r>
      <w:r>
        <w:t xml:space="preserve">construct in this paper is a Tier 1-only indicator (website binary c22b). A richer Tier 1+2 composite, combining website presence with electronic payment intensity (k33/k38), would in principle capture transaction-enabling mechanisms that scale with cross-border coordination demands, but k33 and k38 are unavailable in the 2009 and 2015 waves of WBES Vietnam, precluding a cross-wave Tier 1+2 specification. The negative Tier 1-only interaction documented here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is therefore interpreted as construct-tier obsolescence: Tier 1 website presence has become a minimum-threshold credential in Vietnam's maturing digital environment and no longer differentiates firms' cross-border coordination capacity at high export intensity. The</w:t>
      </w:r>
      <w:r>
        <w:t xml:space="preserve"> </w:t>
      </w:r>
      <m:oMath>
        <m:sSub>
          <m:e>
            <m:r>
              <m:rPr>
                <m:sty m:val="p"/>
              </m:rPr>
              <m:t>D</m:t>
            </m:r>
            <m:r>
              <m:rPr>
                <m:sty m:val="p"/>
              </m:rPr>
              <m:t>A</m:t>
            </m:r>
            <m:r>
              <m:rPr>
                <m:sty m:val="p"/>
              </m:rPr>
              <m:t>I</m:t>
            </m:r>
          </m:e>
          <m:sub>
            <m:r>
              <m:rPr>
                <m:nor/>
                <m:sty m:val="p"/>
              </m:rPr>
              <m:t>rich</m:t>
            </m:r>
          </m:sub>
        </m:sSub>
      </m:oMath>
      <w:r>
        <w:t xml:space="preserve"> </w:t>
      </w:r>
      <w:r>
        <w:t xml:space="preserve">robustness composite available in the 2023 wave partially bridges this gap for within-wave sensitivity analysis, but cross-wave comparability limits its use as the primary measure.</w:t>
      </w:r>
    </w:p>
    <w:p>
      <w:pPr>
        <w:pStyle w:val="BodyText"/>
      </w:pPr>
      <w:r>
        <w:t xml:space="preserve">Controls are standard. Firm size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OLS models estimated with HC1 heteroscedasticity-robust standard errors (MacKinnon &amp; White, 1985). The full specification of interest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is wave-centred export intensity,</w:t>
      </w:r>
      <w:r>
        <w:t xml:space="preserve"> </w:t>
      </w:r>
      <m:oMath>
        <m:sSub>
          <m:e>
            <m:r>
              <m:rPr>
                <m:sty m:val="b"/>
              </m:rPr>
              <m:t>x</m:t>
            </m:r>
          </m:e>
          <m:sub>
            <m:r>
              <m:t>i</m:t>
            </m:r>
          </m:sub>
        </m:sSub>
      </m:oMath>
      <w:r>
        <w:t xml:space="preserve"> </w:t>
      </w:r>
      <w:r>
        <w:t xml:space="preserve">collects firm-level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is a one-digit ISIC sector fixed effect, and</w:t>
      </w:r>
      <w:r>
        <w:t xml:space="preserve"> </w:t>
      </w:r>
      <m:oMath>
        <m:sSub>
          <m:e>
            <m:r>
              <m:t>λ</m:t>
            </m:r>
          </m:e>
          <m:sub>
            <m:r>
              <m:t>w</m:t>
            </m:r>
          </m:sub>
        </m:sSub>
      </m:oMath>
      <w:r>
        <w:t xml:space="preserve"> </w:t>
      </w:r>
      <w:r>
        <w:t xml:space="preserve">is a wave fixed effect applied only in the pooled specification. The implied turning point of the inverted-U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when</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Nested specifications are estimated to disentangle direct from contingent associations:</w:t>
      </w:r>
    </w:p>
    <w:p>
      <w:pPr>
        <w:numPr>
          <w:ilvl w:val="0"/>
          <w:numId w:val="1001"/>
        </w:numPr>
        <w:pStyle w:val="Compact"/>
      </w:pPr>
      <w:r>
        <w:rPr>
          <w:bCs/>
          <w:b/>
        </w:rPr>
        <w:t xml:space="preserve">M0</w:t>
      </w:r>
      <w:r>
        <w:t xml:space="preserve"> </w:t>
      </w:r>
      <w:r>
        <w:t xml:space="preserve">(controls only):</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1"/>
        </w:numPr>
        <w:pStyle w:val="Compact"/>
      </w:pPr>
      <w:r>
        <w:rPr>
          <w:bCs/>
          <w:b/>
        </w:rPr>
        <w:t xml:space="preserve">M1</w:t>
      </w:r>
      <w:r>
        <w:t xml:space="preserve"> </w:t>
      </w:r>
      <w:r>
        <w:t xml:space="preserve">(linear FSTS): adds</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1"/>
        </w:numPr>
        <w:pStyle w:val="Compact"/>
      </w:pPr>
      <w:r>
        <w:rPr>
          <w:bCs/>
          <w:b/>
        </w:rPr>
        <w:t xml:space="preserve">M2</w:t>
      </w:r>
      <w:r>
        <w:t xml:space="preserve"> </w:t>
      </w:r>
      <w:r>
        <w:t xml:space="preserve">(inverted-U): adds</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1"/>
        </w:numPr>
        <w:pStyle w:val="Compact"/>
      </w:pPr>
      <w:r>
        <w:rPr>
          <w:bCs/>
          <w:b/>
        </w:rPr>
        <w:t xml:space="preserve">M7</w:t>
      </w:r>
      <w:r>
        <w:t xml:space="preserve"> </w:t>
      </w:r>
      <w:r>
        <w:t xml:space="preserve">(dual-direct capability): M2 plus</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1"/>
        </w:numPr>
        <w:pStyle w:val="Compact"/>
      </w:pPr>
      <w:r>
        <w:rPr>
          <w:bCs/>
          <w:b/>
        </w:rPr>
        <w:t xml:space="preserve">M8</w:t>
      </w:r>
      <w:r>
        <w:t xml:space="preserve"> </w:t>
      </w:r>
      <w:r>
        <w:t xml:space="preserve">(full DAI moderation): M7 plus the two DAI interaction terms above.</w:t>
      </w:r>
    </w:p>
    <w:p>
      <w:pPr>
        <w:pStyle w:val="FirstParagraph"/>
      </w:pPr>
      <w:r>
        <w:t xml:space="preserve">Cross-wave coefficient differences are evaluated via the Paternoster et al. (1998)</w:t>
      </w:r>
      <w:r>
        <w:t xml:space="preserve"> </w:t>
      </w:r>
      <m:oMath>
        <m:r>
          <m:t>z</m:t>
        </m:r>
      </m:oMath>
      <w:r>
        <w:t xml:space="preserve">-test,</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with two-sided</w:t>
      </w:r>
      <w:r>
        <w:t xml:space="preserve"> </w:t>
      </w:r>
      <m:oMath>
        <m:r>
          <m:t>p</m:t>
        </m:r>
      </m:oMath>
      <w:r>
        <w:t xml:space="preserve">-values from the standard normal distribution. The Lind and Mehlum (2010)</w:t>
      </w:r>
      <w:r>
        <w:t xml:space="preserve"> </w:t>
      </w:r>
      <m:oMath>
        <m:r>
          <m:t>U</m:t>
        </m:r>
      </m:oMath>
      <w:r>
        <w:t xml:space="preserve">-test is applied on the</w:t>
      </w:r>
      <w:r>
        <w:t xml:space="preserve"> </w:t>
      </w:r>
      <m:oMath>
        <m:d>
          <m:dPr>
            <m:begChr m:val="["/>
            <m:endChr m:val="]"/>
            <m:sepChr m:val=""/>
            <m:grow/>
          </m:dPr>
          <m:e>
            <m:r>
              <m:t>0</m:t>
            </m:r>
            <m:r>
              <m:rPr>
                <m:sty m:val="p"/>
              </m:rPr>
              <m:t>,</m:t>
            </m:r>
            <m:r>
              <m:t>1</m:t>
            </m:r>
          </m:e>
        </m:d>
      </m:oMath>
      <w:r>
        <w:t xml:space="preserve"> </w:t>
      </w:r>
      <w:r>
        <w:t xml:space="preserve">range of FSTS to verify the inverted-U formally.</w:t>
      </w:r>
      <w:r>
        <w:t xml:space="preserve"> </w:t>
      </w:r>
      <w:r>
        <w:t xml:space="preserve">This design separates three analytical questions. First, is the I–P relationship nonlinear? Second, are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directly associated with performance? Third, does the role of 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w:t>
      </w:r>
      <w:r>
        <w:t xml:space="preserve"> </w:t>
      </w:r>
      <m:oMath>
        <m:acc>
          <m:accPr>
            <m:chr m:val="̃"/>
          </m:accPr>
          <m:e>
            <m:r>
              <m:rPr>
                <m:sty m:val="p"/>
              </m:rPr>
              <m:t>T</m:t>
            </m:r>
            <m:r>
              <m:rPr>
                <m:sty m:val="p"/>
              </m:rPr>
              <m:t>C</m:t>
            </m:r>
            <m:r>
              <m:rPr>
                <m:sty m:val="p"/>
              </m:rPr>
              <m:t>I</m:t>
            </m:r>
          </m:e>
        </m:acc>
      </m:oMath>
      <w:r>
        <w:t xml:space="preserve"> </w:t>
      </w:r>
      <w:r>
        <w:t xml:space="preserve">(β = 0.215, p &lt; .001) and</w:t>
      </w:r>
      <w:r>
        <w:t xml:space="preserve"> </w:t>
      </w:r>
      <m:oMath>
        <m:acc>
          <m:accPr>
            <m:chr m:val="̃"/>
          </m:accPr>
          <m:e>
            <m:r>
              <m:rPr>
                <m:sty m:val="p"/>
              </m:rPr>
              <m:t>D</m:t>
            </m:r>
            <m:r>
              <m:rPr>
                <m:sty m:val="p"/>
              </m:rPr>
              <m:t>A</m:t>
            </m:r>
            <m:r>
              <m:rPr>
                <m:sty m:val="p"/>
              </m:rPr>
              <m:t>I</m:t>
            </m:r>
          </m:e>
        </m:acc>
      </m:oMath>
      <w:r>
        <w:t xml:space="preserve"> </w:t>
      </w:r>
      <w:r>
        <w:t xml:space="preserve">(β = 0.175, p &lt; .001) are</w:t>
      </w:r>
      <w:r>
        <w:t xml:space="preserve"> </w:t>
      </w:r>
      <w:r>
        <w:t xml:space="preserve">positive and highly significant. TCI moderation is statistically distinguishable from zero (M3</w:t>
      </w:r>
      <w:r>
        <w:t xml:space="preserve"> </w:t>
      </w:r>
      <w:r>
        <w:t xml:space="preserve">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z-standardized formative composites. FSTS = foreign sales-to-total-sales ratio. Sample sizes: 2009 N=989; 2015 N=956; 2023 N=1,013; pooled N=2,958.</w:t>
      </w:r>
    </w:p>
    <w:p>
      <w:pPr>
        <w:pStyle w:val="BodyText"/>
      </w:pPr>
      <w:r>
        <w:t xml:space="preserve">Table 2: Focal coefficient summary by wave and pooled (M2 inverted-U, M7 dual-direct, M8 with DAI moderation).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rPr>
                <w:bCs/>
                <w:b/>
              </w:rPr>
              <w:t xml:space="preserve">M2. Inverted-U on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(linear)</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(quadratic)</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Turning point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Dual-direct capability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With FSTS × DAI moderation (pooled M8:</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(mixed across waves)</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M8 joint test (curvature + moderation)</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Notes.</w:t>
      </w:r>
      <w:r>
        <w:t xml:space="preserve"> </w:t>
      </w:r>
      <w:r>
        <w:t xml:space="preserve">Coefficients from OLS with HC1 heteroscedasticity-robust standard errors. Sector fixed effects and standard firm-level controls (</w:t>
      </w:r>
      <m:oMath>
        <m:r>
          <m:rPr>
            <m:sty m:val="p"/>
          </m:rPr>
          <m:t>ln</m:t>
        </m:r>
        <m:d>
          <m:dPr>
            <m:begChr m:val="("/>
            <m:endChr m:val=")"/>
            <m:sepChr m:val=""/>
            <m:grow/>
          </m:dPr>
          <m:e>
            <m:r>
              <m:rPr>
                <m:sty m:val="p"/>
              </m:rPr>
              <m:t>E</m:t>
            </m:r>
            <m:r>
              <m:rPr>
                <m:sty m:val="p"/>
              </m:rPr>
              <m:t>m</m:t>
            </m:r>
            <m:r>
              <m:rPr>
                <m:sty m:val="p"/>
              </m:rPr>
              <m:t>p</m:t>
            </m:r>
          </m:e>
        </m:d>
      </m:oMath>
      <w:r>
        <w:t xml:space="preserve">, FirmAge, ForeignOwned) included throughout. Significance: *** p &lt; .001; ** p &lt; .01; * p &lt; .05; † p &lt; .10. M2 = quadratic FSTS only;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(dual direct);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The 2023 wave is the only one in which the M8 DAI moderation channel is detectable at conventional thresholds, consistent with the Tier 1 proxy-obsolescence interpretation developed in Section 5.</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m:oMath>
        <m:sSup>
          <m:e>
            <m:r>
              <m:rPr>
                <m:sty m:val="p"/>
              </m:rPr>
              <m:t>F</m:t>
            </m:r>
            <m:r>
              <m:rPr>
                <m:sty m:val="p"/>
              </m:rPr>
              <m:t>S</m:t>
            </m:r>
            <m:r>
              <m:rPr>
                <m:sty m:val="p"/>
              </m:rPr>
              <m:t>T</m:t>
            </m:r>
            <m:r>
              <m:rPr>
                <m:sty m:val="p"/>
              </m:rPr>
              <m:t>S</m:t>
            </m:r>
          </m:e>
          <m:sup>
            <m:r>
              <m:t>c</m:t>
            </m:r>
          </m:sup>
        </m:sSup>
      </m:oMath>
      <w:r>
        <w:t xml:space="preserve"> </w:t>
      </w:r>
      <w:r>
        <w:t xml:space="preserve">β = 1.159 (p = .029) and</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.009.</w:t>
      </w:r>
      <w:r>
        <w:t xml:space="preserve"> </w:t>
      </w:r>
      <m:oMath>
        <m:acc>
          <m:accPr>
            <m:chr m:val="̃"/>
          </m:accPr>
          <m:e>
            <m:r>
              <m:rPr>
                <m:sty m:val="p"/>
              </m:rPr>
              <m:t>T</m:t>
            </m:r>
            <m:r>
              <m:rPr>
                <m:sty m:val="p"/>
              </m:rPr>
              <m:t>C</m:t>
            </m:r>
            <m:r>
              <m:rPr>
                <m:sty m:val="p"/>
              </m:rPr>
              <m:t>I</m:t>
            </m:r>
          </m:e>
        </m:acc>
      </m:oMath>
      <w:r>
        <w:t xml:space="preserve"> </w:t>
      </w:r>
      <w:r>
        <w:t xml:space="preserve">retains a positive direct association (β = 0.128, p = .010) but at roughly 60 per</w:t>
      </w:r>
      <w:r>
        <w:t xml:space="preserve"> </w:t>
      </w:r>
      <w:r>
        <w:t xml:space="preserve">cent of the 2009 magnitude.</w:t>
      </w:r>
      <w:r>
        <w:t xml:space="preserve"> </w:t>
      </w:r>
      <m:oMath>
        <m:acc>
          <m:accPr>
            <m:chr m:val="̃"/>
          </m:accPr>
          <m:e>
            <m:r>
              <m:rPr>
                <m:sty m:val="p"/>
              </m:rPr>
              <m:t>D</m:t>
            </m:r>
            <m:r>
              <m:rPr>
                <m:sty m:val="p"/>
              </m:rPr>
              <m:t>A</m:t>
            </m:r>
            <m:r>
              <m:rPr>
                <m:sty m:val="p"/>
              </m:rPr>
              <m:t>I</m:t>
            </m:r>
          </m:e>
        </m:acc>
      </m:oMath>
      <w:r>
        <w:t xml:space="preserve"> </w:t>
      </w:r>
      <w:r>
        <w:t xml:space="preserve">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r>
              <m:rPr>
                <m:sty m:val="p"/>
              </m:rPr>
              <m:t>F</m:t>
            </m:r>
            <m:r>
              <m:rPr>
                <m:sty m:val="p"/>
              </m:rPr>
              <m:t>S</m:t>
            </m:r>
            <m:r>
              <m:rPr>
                <m:sty m:val="p"/>
              </m:rPr>
              <m:t>T</m:t>
            </m:r>
            <m:r>
              <m:rPr>
                <m:sty m:val="p"/>
              </m:rPr>
              <m:t>S</m:t>
            </m:r>
          </m:e>
          <m:sup>
            <m:r>
              <m:t>c</m:t>
            </m:r>
          </m:sup>
        </m:sSup>
      </m:oMath>
      <w:r>
        <w:t xml:space="preserve"> </w:t>
      </w:r>
      <w:r>
        <w:t xml:space="preserve">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When the DAI interaction</w:t>
      </w:r>
      <w:r>
        <w:t xml:space="preserve"> </w:t>
      </w:r>
      <w:r>
        <w:t xml:space="preserve">terms are added in M8, the linear interaction is negative and individually significant (</w:t>
      </w:r>
      <m:oMath>
        <m:sSup>
          <m:e>
            <m:r>
              <m:rPr>
                <m:sty m:val="p"/>
              </m:rPr>
              <m:t>F</m:t>
            </m:r>
            <m:r>
              <m:rPr>
                <m:sty m:val="p"/>
              </m:rPr>
              <m:t>S</m:t>
            </m:r>
            <m:r>
              <m:rPr>
                <m:sty m:val="p"/>
              </m:rPr>
              <m:t>T</m:t>
            </m:r>
            <m:r>
              <m:rPr>
                <m:sty m:val="p"/>
              </m:rPr>
              <m:t>S</m:t>
            </m:r>
          </m:e>
          <m:sup>
            <m:r>
              <m:t>c</m:t>
            </m:r>
          </m:sup>
        </m:sSup>
      </m:oMath>
    </w:p>
    <w:p>
      <w:pPr>
        <w:pStyle w:val="BodyText"/>
      </w:pPr>
      <w:r>
        <w:t xml:space="preserve">×</w:t>
      </w:r>
      <w:r>
        <w:t xml:space="preserve"> </w:t>
      </w:r>
      <m:oMath>
        <m:acc>
          <m:accPr>
            <m:chr m:val="̃"/>
          </m:accPr>
          <m:e>
            <m:r>
              <m:rPr>
                <m:sty m:val="p"/>
              </m:rPr>
              <m:t>D</m:t>
            </m:r>
            <m:r>
              <m:rPr>
                <m:sty m:val="p"/>
              </m:rPr>
              <m:t>A</m:t>
            </m:r>
            <m:r>
              <m:rPr>
                <m:sty m:val="p"/>
              </m:rPr>
              <m:t>I</m:t>
            </m:r>
          </m:e>
        </m:acc>
      </m:oMath>
      <w:r>
        <w:t xml:space="preserve"> </w:t>
      </w:r>
      <w:r>
        <w:t xml:space="preserve">= -0.912, p = .043), the quadratic interaction is positive and marginal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Future analyses using the</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2023 only) would provide a within-wave test of whether the sign shifts when electronic-payment-intensity items are added to the Vietnamese instrument.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acc>
          <m:accPr>
            <m:chr m:val="̃"/>
          </m:accPr>
          <m:e>
            <m:r>
              <m:rPr>
                <m:sty m:val="p"/>
              </m:rPr>
              <m:t>T</m:t>
            </m:r>
            <m:r>
              <m:rPr>
                <m:sty m:val="p"/>
              </m:rPr>
              <m:t>C</m:t>
            </m:r>
            <m:r>
              <m:rPr>
                <m:sty m:val="p"/>
              </m:rPr>
              <m:t>I</m:t>
            </m:r>
          </m:e>
        </m:acc>
      </m:oMath>
      <w:r>
        <w:t xml:space="preserve"> </w:t>
      </w:r>
      <w:r>
        <w:t xml:space="preserve">= 0.215, 0.128,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w:t>
      </w:r>
      <m:oMath>
        <m:sSup>
          <m:e>
            <m:r>
              <m:rPr>
                <m:sty m:val="p"/>
              </m:rPr>
              <m:t>F</m:t>
            </m:r>
            <m:r>
              <m:rPr>
                <m:sty m:val="p"/>
              </m:rPr>
              <m:t>S</m:t>
            </m:r>
            <m:r>
              <m:rPr>
                <m:sty m:val="p"/>
              </m:rPr>
              <m:t>T</m:t>
            </m:r>
            <m:r>
              <m:rPr>
                <m:sty m:val="p"/>
              </m:rPr>
              <m:t>S</m:t>
            </m:r>
          </m:e>
          <m:sup>
            <m:r>
              <m:t>c</m:t>
            </m:r>
          </m:sup>
        </m:sSup>
      </m:oMath>
      <w:r>
        <w:t xml:space="preserve"> </w:t>
      </w:r>
      <w:r>
        <w:t xml:space="preserve">compresses entirely:</w:t>
      </w:r>
    </w:p>
    <w:p>
      <w:pPr>
        <w:pStyle w:val="BodyText"/>
      </w:pPr>
      <m:oMath>
        <m:acc>
          <m:accPr>
            <m:chr m:val="̃"/>
          </m:accPr>
          <m:e>
            <m:r>
              <m:rPr>
                <m:sty m:val="p"/>
              </m:rPr>
              <m:t>D</m:t>
            </m:r>
            <m:r>
              <m:rPr>
                <m:sty m:val="p"/>
              </m:rPr>
              <m:t>A</m:t>
            </m:r>
            <m:r>
              <m:rPr>
                <m:sty m:val="p"/>
              </m:rPr>
              <m:t>I</m:t>
            </m:r>
          </m:e>
        </m:acc>
      </m:oMath>
      <w:r>
        <w:t xml:space="preserve"> </w:t>
      </w:r>
      <w:r>
        <w:t xml:space="preserve">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shows that this conditional channel binds primarily at</w:t>
      </w:r>
      <w:r>
        <w:t xml:space="preserve"> </w:t>
      </w:r>
      <w:r>
        <w:t xml:space="preserve">higher export intensity rather than uniformly across the export-intensity range.</w:t>
      </w:r>
    </w:p>
    <w:bookmarkEnd w:id="40"/>
    <w:bookmarkStart w:id="53"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positive (β = 0.984, p</w:t>
      </w:r>
    </w:p>
    <w:p>
      <w:pPr>
        <w:pStyle w:val="BodyText"/>
      </w:pPr>
      <w:r>
        <w:t xml:space="preserve">2 term is negative (β = -1.909, p &lt; .001); the Lind–Mehlum</w:t>
      </w:r>
    </w:p>
    <w:p>
      <w:pPr>
        <w:pStyle w:val="BodyText"/>
      </w:pPr>
      <w:r>
        <w:t xml:space="preserve">&lt; .001) and the quadratic</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test rejects monotonicity at p &lt; .001 with an estimated turning point at 39.7 per cent of directexport intensity. The curvature persists in the full M8 specification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w:t>
      </w:r>
      <w:r>
        <w:t xml:space="preserve"> </w:t>
      </w:r>
      <m:oMath>
        <m:acc>
          <m:accPr>
            <m:chr m:val="̃"/>
          </m:accPr>
          <m:e>
            <m:r>
              <m:rPr>
                <m:sty m:val="p"/>
              </m:rPr>
              <m:t>T</m:t>
            </m:r>
            <m:r>
              <m:rPr>
                <m:sty m:val="p"/>
              </m:rPr>
              <m:t>C</m:t>
            </m:r>
            <m:r>
              <m:rPr>
                <m:sty m:val="p"/>
              </m:rPr>
              <m:t>I</m:t>
            </m:r>
          </m:e>
        </m:acc>
      </m:oMath>
      <w:r>
        <w:t xml:space="preserve"> </w:t>
      </w:r>
      <w:r>
        <w:t xml:space="preserve">is positive and highly significant (β = 0.179, p &lt; .001), and</w:t>
      </w:r>
      <w:r>
        <w:t xml:space="preserve"> </w:t>
      </w:r>
      <m:oMath>
        <m:acc>
          <m:accPr>
            <m:chr m:val="̃"/>
          </m:accPr>
          <m:e>
            <m:r>
              <m:rPr>
                <m:sty m:val="p"/>
              </m:rPr>
              <m:t>D</m:t>
            </m:r>
            <m:r>
              <m:rPr>
                <m:sty m:val="p"/>
              </m:rPr>
              <m:t>A</m:t>
            </m:r>
            <m:r>
              <m:rPr>
                <m:sty m:val="p"/>
              </m:rPr>
              <m:t>I</m:t>
            </m:r>
          </m:e>
        </m:acc>
      </m:oMath>
      <w:r>
        <w:t xml:space="preserve"> </w:t>
      </w:r>
      <w:r>
        <w:t xml:space="preserve">is positive</w:t>
      </w:r>
      <w:r>
        <w:t xml:space="preserve"> </w:t>
      </w:r>
      <w:r>
        <w:t xml:space="preserve">and significant (β = 0.078, p = .004).</w:t>
      </w:r>
    </w:p>
    <w:p>
      <w:pPr>
        <w:pStyle w:val="BodyText"/>
      </w:pPr>
      <w:r>
        <w:t xml:space="preserve">In the full M8 specification, the</w:t>
      </w:r>
      <w:r>
        <w:t xml:space="preserve"> </w:t>
      </w:r>
      <m:oMath>
        <m:acc>
          <m:accPr>
            <m:chr m:val="̃"/>
          </m:accPr>
          <m:e>
            <m:r>
              <m:rPr>
                <m:sty m:val="p"/>
              </m:rPr>
              <m:t>T</m:t>
            </m:r>
            <m:r>
              <m:rPr>
                <m:sty m:val="p"/>
              </m:rPr>
              <m:t>C</m:t>
            </m:r>
            <m:r>
              <m:rPr>
                <m:sty m:val="p"/>
              </m:rPr>
              <m:t>I</m:t>
            </m:r>
          </m:e>
        </m:acc>
      </m:oMath>
      <w:r>
        <w:t xml:space="preserve"> </w:t>
      </w:r>
      <w:r>
        <w:t xml:space="preserve">coefficient is</w:t>
      </w:r>
    </w:p>
    <w:p>
      <w:pPr>
        <w:pStyle w:val="BodyText"/>
      </w:pPr>
      <w:r>
        <w:t xml:space="preserve">essentially unchanged (β = 0.184, p &lt; .001), while the</w:t>
      </w:r>
      <w:r>
        <w:t xml:space="preserve"> </w:t>
      </w:r>
      <m:oMath>
        <m:acc>
          <m:accPr>
            <m:chr m:val="̃"/>
          </m:accPr>
          <m:e>
            <m:r>
              <m:rPr>
                <m:sty m:val="p"/>
              </m:rPr>
              <m:t>D</m:t>
            </m:r>
            <m:r>
              <m:rPr>
                <m:sty m:val="p"/>
              </m:rPr>
              <m:t>A</m:t>
            </m:r>
            <m:r>
              <m:rPr>
                <m:sty m:val="p"/>
              </m:rPr>
              <m:t>I</m:t>
            </m:r>
          </m:e>
        </m:acc>
      </m:oMath>
      <w:r>
        <w:t xml:space="preserve"> </w:t>
      </w:r>
      <w:r>
        <w:t xml:space="preserve">direct coefficient becomes statistically indistinguishable from zero (β = 0.032, p = .537) once the interaction terms are entered.</w:t>
      </w:r>
      <w:r>
        <w:t xml:space="preserve"> </w:t>
      </w:r>
      <w:r>
        <w:t xml:space="preserve">This sensitivity is consistent with the interpretation that</w:t>
      </w:r>
      <w:r>
        <w:t xml:space="preserve"> </w:t>
      </w:r>
      <m:oMath>
        <m:acc>
          <m:accPr>
            <m:chr m:val="̃"/>
          </m:accPr>
          <m:e>
            <m:r>
              <m:rPr>
                <m:sty m:val="p"/>
              </m:rPr>
              <m:t>D</m:t>
            </m:r>
            <m:r>
              <m:rPr>
                <m:sty m:val="p"/>
              </m:rPr>
              <m:t>A</m:t>
            </m:r>
            <m:r>
              <m:rPr>
                <m:sty m:val="p"/>
              </m:rPr>
              <m:t>I</m:t>
            </m:r>
          </m:e>
        </m:acc>
      </m:oMath>
      <w:r>
        <w:t xml:space="preserve"> </w:t>
      </w:r>
      <w:r>
        <w:t xml:space="preserve">combines a positive level effect</w:t>
      </w:r>
      <w:r>
        <w:t xml:space="preserve"> </w:t>
      </w:r>
      <w:r>
        <w:t xml:space="preserve">with a negative interaction with</w:t>
      </w:r>
      <w:r>
        <w:t xml:space="preserve"> </w:t>
      </w:r>
      <m:oMath>
        <m:sSup>
          <m:e>
            <m:r>
              <m:rPr>
                <m:sty m:val="p"/>
              </m:rPr>
              <m:t>F</m:t>
            </m:r>
            <m:r>
              <m:rPr>
                <m:sty m:val="p"/>
              </m:rPr>
              <m:t>S</m:t>
            </m:r>
            <m:r>
              <m:rPr>
                <m:sty m:val="p"/>
              </m:rPr>
              <m:t>T</m:t>
            </m:r>
            <m:r>
              <m:rPr>
                <m:sty m:val="p"/>
              </m:rPr>
              <m:t>S</m:t>
            </m:r>
          </m:e>
          <m:sup>
            <m:r>
              <m:t>c</m:t>
            </m:r>
          </m:sup>
        </m:sSup>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acc>
          <m:accPr>
            <m:chr m:val="̃"/>
          </m:accPr>
          <m:e>
            <m:r>
              <m:rPr>
                <m:sty m:val="p"/>
              </m:rPr>
              <m:t>D</m:t>
            </m:r>
            <m:r>
              <m:rPr>
                <m:sty m:val="p"/>
              </m:rPr>
              <m:t>A</m:t>
            </m:r>
            <m:r>
              <m:rPr>
                <m:sty m:val="p"/>
              </m:rPr>
              <m:t>I</m:t>
            </m:r>
          </m:e>
        </m:acc>
      </m:oMath>
      <w:r>
        <w:t xml:space="preserve"> </w:t>
      </w:r>
      <w:r>
        <w:t xml:space="preserve">carry a marginal joint signal.</w:t>
      </w:r>
    </w:p>
    <w:p>
      <w:pPr>
        <w:pStyle w:val="BodyText"/>
      </w:pPr>
      <w:r>
        <w:t xml:space="preserve">The linear</w:t>
      </w:r>
    </w:p>
    <w:p>
      <w:pPr>
        <w:pStyle w:val="BodyText"/>
      </w:pPr>
      <w:r>
        <w:t xml:space="preserve">interaction is negative but not individually significant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w:t>
      </w:r>
      <w:r>
        <w:t xml:space="preserve"> </w:t>
      </w:r>
      <w:r>
        <w:t xml:space="preserve">and the quadratic interaction is positive but not significant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D</m:t>
            </m:r>
            <m:r>
              <m:rPr>
                <m:sty m:val="p"/>
              </m:rPr>
              <m:t>A</m:t>
            </m:r>
            <m:r>
              <m:rPr>
                <m:sty m:val="p"/>
              </m:rPr>
              <m:t>I</m:t>
            </m:r>
          </m:e>
        </m:acc>
      </m:oMath>
      <w:r>
        <w:t xml:space="preserve"> </w:t>
      </w:r>
      <w:r>
        <w:t xml:space="preserve">=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w:t>
      </w:r>
      <w:r>
        <w:t xml:space="preserve"> </w:t>
      </w:r>
      <w:r>
        <w:t xml:space="preserve">.003) and the quadratic is positive (</w:t>
      </w:r>
      <m:oMath>
        <m:sSup>
          <m:e>
            <m:r>
              <m:rPr>
                <m:sty m:val="p"/>
              </m:rPr>
              <m:t>F</m:t>
            </m:r>
            <m:r>
              <m:rPr>
                <m:sty m:val="p"/>
              </m:rPr>
              <m:t>S</m:t>
            </m:r>
            <m:r>
              <m:rPr>
                <m:sty m:val="p"/>
              </m:rPr>
              <m:t>T</m:t>
            </m:r>
            <m:r>
              <m:rPr>
                <m:sty m:val="p"/>
              </m:rPr>
              <m:t>S</m:t>
            </m:r>
          </m:e>
          <m:sup>
            <m:r>
              <m:t>c</m:t>
            </m:r>
          </m:sup>
        </m:sSup>
      </m:oMath>
    </w:p>
    <w:p>
      <w:pPr>
        <w:pStyle w:val="BodyText"/>
      </w:pPr>
      <w:r>
        <w:t xml:space="preserve">2 ×</w:t>
      </w:r>
      <w:r>
        <w:t xml:space="preserve"> </w:t>
      </w:r>
      <m:oMath>
        <m:acc>
          <m:accPr>
            <m:chr m:val="̃"/>
          </m:accPr>
          <m:e>
            <m:r>
              <m:rPr>
                <m:sty m:val="p"/>
              </m:rPr>
              <m:t>T</m:t>
            </m:r>
            <m:r>
              <m:rPr>
                <m:sty m:val="p"/>
              </m:rPr>
              <m:t>C</m:t>
            </m:r>
            <m:r>
              <m:rPr>
                <m:sty m:val="p"/>
              </m:rPr>
              <m:t>I</m:t>
            </m:r>
          </m:e>
        </m:acc>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Vietnam pooled threshold of 39.7 % (range 39.3–46.2 % across waves) is notably lower than the manufacturing-subsample threshold of 47.8 % reported for Chinese private firms by Author Citation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w:t>
      </w:r>
      <w:r>
        <w:t xml:space="preserve"> </w:t>
      </w:r>
      <m:oMath>
        <m:acc>
          <m:accPr>
            <m:chr m:val="̃"/>
          </m:accPr>
          <m:e>
            <m:r>
              <m:rPr>
                <m:sty m:val="p"/>
              </m:rPr>
              <m:t>T</m:t>
            </m:r>
            <m:r>
              <m:rPr>
                <m:sty m:val="p"/>
              </m:rPr>
              <m:t>C</m:t>
            </m:r>
            <m:r>
              <m:rPr>
                <m:sty m:val="p"/>
              </m:rPr>
              <m:t>I</m:t>
            </m:r>
          </m:e>
        </m:acc>
      </m:oMath>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w:t>
      </w:r>
      <w:r>
        <w:t xml:space="preserve"> </w:t>
      </w:r>
      <m:oMath>
        <m:acc>
          <m:accPr>
            <m:chr m:val="̃"/>
          </m:accPr>
          <m:e>
            <m:r>
              <m:rPr>
                <m:sty m:val="p"/>
              </m:rPr>
              <m:t>D</m:t>
            </m:r>
            <m:r>
              <m:rPr>
                <m:sty m:val="p"/>
              </m:rPr>
              <m:t>A</m:t>
            </m:r>
            <m:r>
              <m:rPr>
                <m:sty m:val="p"/>
              </m:rPr>
              <m:t>I</m:t>
            </m:r>
          </m:e>
        </m:acc>
      </m:oMath>
      <w:r>
        <w:t xml:space="preserve"> </w:t>
      </w:r>
      <w:r>
        <w:t xml:space="preserve">is positive and significant (β = 0.078, p = .004),</w:t>
      </w:r>
      <w:r>
        <w:t xml:space="preserve"> </w:t>
      </w:r>
      <w:r>
        <w:t xml:space="preserve">but</w:t>
      </w:r>
      <w:r>
        <w:t xml:space="preserve"> </w:t>
      </w:r>
      <m:oMath>
        <m:acc>
          <m:accPr>
            <m:chr m:val="̃"/>
          </m:accPr>
          <m:e>
            <m:r>
              <m:rPr>
                <m:sty m:val="p"/>
              </m:rPr>
              <m:t>D</m:t>
            </m:r>
            <m:r>
              <m:rPr>
                <m:sty m:val="p"/>
              </m:rPr>
              <m:t>A</m:t>
            </m:r>
            <m:r>
              <m:rPr>
                <m:sty m:val="p"/>
              </m:rPr>
              <m:t>I</m:t>
            </m:r>
          </m:e>
        </m:acc>
      </m:oMath>
      <w:r>
        <w:t xml:space="preserve"> </w:t>
      </w:r>
      <w:r>
        <w:t xml:space="preserve">varies sharply across waves,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not): the moderator shifts the position of the turning point but preserves the inverted-U shape. Type II moderation flips the shape of the curve (i.e.,</w:t>
      </w:r>
      <w:r>
        <w:t xml:space="preserve"> </w:t>
      </w:r>
      <m:oMath>
        <m:sSup>
          <m:e>
            <m:r>
              <m:rPr>
                <m:sty m:val="p"/>
              </m:rPr>
              <m:t>F</m:t>
            </m:r>
            <m:r>
              <m:rPr>
                <m:sty m:val="p"/>
              </m:rPr>
              <m:t>S</m:t>
            </m:r>
            <m:r>
              <m:rPr>
                <m:sty m:val="p"/>
              </m:rPr>
              <m:t>T</m:t>
            </m:r>
            <m:r>
              <m:rPr>
                <m:sty m:val="p"/>
              </m:rPr>
              <m:t>S</m:t>
            </m:r>
          </m:e>
          <m:sup>
            <m:r>
              <m:t>2</m:t>
            </m:r>
          </m:sup>
        </m:sSup>
      </m:oMath>
      <w:r>
        <w:t xml:space="preserve"> </w:t>
      </w:r>
      <w:r>
        <w:t xml:space="preserve">× DAI is significant): high versus low moderator values produce qualitatively different functional forms. The 2023 DAI evidence fits Type I: the significant linear interaction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indicates that digital adoption attenuates the positive slope at low export intensity, pulling the turning point inward, while the</w:t>
      </w:r>
      <w:r>
        <w:t xml:space="preserve"> </w:t>
      </w:r>
      <m:oMath>
        <m:sSup>
          <m:e>
            <m:r>
              <m:rPr>
                <m:sty m:val="p"/>
              </m:rPr>
              <m:t>F</m:t>
            </m:r>
            <m:r>
              <m:rPr>
                <m:sty m:val="p"/>
              </m:rPr>
              <m:t>S</m:t>
            </m:r>
            <m:r>
              <m:rPr>
                <m:sty m:val="p"/>
              </m:rPr>
              <m:t>T</m:t>
            </m:r>
            <m:r>
              <m:rPr>
                <m:sty m:val="p"/>
              </m:rPr>
              <m:t>S</m:t>
            </m:r>
          </m:e>
          <m:sup>
            <m:r>
              <m:t>2</m:t>
            </m:r>
          </m:sup>
        </m:sSup>
      </m:oMath>
      <w:r>
        <w:t xml:space="preserve"> </w:t>
      </w:r>
      <w:r>
        <w:t xml:space="preserve">×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is negative (β = -0.861, p &lt; .001) but the quadratic term is not significant (</w:t>
      </w:r>
      <m:oMath>
        <m:sSup>
          <m:e>
            <m:r>
              <m:rPr>
                <m:sty m:val="p"/>
              </m:rPr>
              <m:t>F</m:t>
            </m:r>
            <m:r>
              <m:rPr>
                <m:sty m:val="p"/>
              </m:rPr>
              <m:t>S</m:t>
            </m:r>
            <m:r>
              <m:rPr>
                <m:sty m:val="p"/>
              </m:rPr>
              <m:t>T</m:t>
            </m:r>
            <m:r>
              <m:rPr>
                <m:sty m:val="p"/>
              </m:rPr>
              <m:t>S</m:t>
            </m:r>
          </m:e>
          <m:sup>
            <m:r>
              <m:t>c</m:t>
            </m:r>
          </m:sup>
        </m:sSup>
      </m:oMath>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-1.883, p &lt; .001) than in non-</w:t>
      </w:r>
    </w:p>
    <w:p>
      <w:pPr>
        <w:pStyle w:val="BodyText"/>
      </w:pPr>
      <w:r>
        <w:t xml:space="preserve">manufacturing (</w:t>
      </w:r>
      <m:oMath>
        <m:sSup>
          <m:e>
            <m:r>
              <m:rPr>
                <m:sty m:val="p"/>
              </m:rPr>
              <m:t>F</m:t>
            </m:r>
            <m:r>
              <m:rPr>
                <m:sty m:val="p"/>
              </m:rPr>
              <m:t>S</m:t>
            </m:r>
            <m:r>
              <m:rPr>
                <m:sty m:val="p"/>
              </m:rPr>
              <m:t>T</m:t>
            </m:r>
            <m:r>
              <m:rPr>
                <m:sty m:val="p"/>
              </m:rPr>
              <m:t>S</m:t>
            </m:r>
          </m:e>
          <m:sup>
            <m:r>
              <m:t>c</m:t>
            </m:r>
          </m:sup>
        </m:sSup>
      </m:oMath>
      <w:r>
        <w:t xml:space="preserve"> </w:t>
      </w:r>
      <w:r>
        <w:t xml:space="preserve">β = 1.615, p = .064, marginal;</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w:t>
      </w:r>
      <w:r>
        <w:t xml:space="preserve"> </w:t>
      </w:r>
      <m:oMath>
        <m:acc>
          <m:accPr>
            <m:chr m:val="̃"/>
          </m:accPr>
          <m:e>
            <m:r>
              <m:rPr>
                <m:sty m:val="p"/>
              </m:rPr>
              <m:t>T</m:t>
            </m:r>
            <m:r>
              <m:rPr>
                <m:sty m:val="p"/>
              </m:rPr>
              <m:t>C</m:t>
            </m:r>
            <m:r>
              <m:rPr>
                <m:sty m:val="p"/>
              </m:rPr>
              <m:t>I</m:t>
            </m:r>
          </m:e>
        </m:acc>
      </m:oMath>
    </w:p>
    <w:p>
      <w:pPr>
        <w:pStyle w:val="BodyText"/>
      </w:pPr>
      <w:r>
        <w:t xml:space="preserve">direct association (β = 0.223, p &lt; .001) and a positive</w:t>
      </w:r>
      <w:r>
        <w:t xml:space="preserve"> </w:t>
      </w:r>
      <m:oMath>
        <m:acc>
          <m:accPr>
            <m:chr m:val="̃"/>
          </m:accPr>
          <m:e>
            <m:r>
              <m:rPr>
                <m:sty m:val="p"/>
              </m:rPr>
              <m:t>D</m:t>
            </m:r>
            <m:r>
              <m:rPr>
                <m:sty m:val="p"/>
              </m:rPr>
              <m:t>A</m:t>
            </m:r>
            <m:r>
              <m:rPr>
                <m:sty m:val="p"/>
              </m:rPr>
              <m:t>I</m:t>
            </m:r>
          </m:e>
        </m:acc>
      </m:oMath>
      <w:r>
        <w:t xml:space="preserve"> </w:t>
      </w:r>
      <w:r>
        <w:t xml:space="preserve">direct association (β = 0.087,</w:t>
      </w:r>
      <w:r>
        <w:t xml:space="preserve"> </w:t>
      </w:r>
      <w:r>
        <w:t xml:space="preserve">p = .009), while non-manufacturing firms show only a marginal</w:t>
      </w:r>
      <w:r>
        <w:t xml:space="preserve"> </w:t>
      </w:r>
      <m:oMath>
        <m:acc>
          <m:accPr>
            <m:chr m:val="̃"/>
          </m:accPr>
          <m:e>
            <m:r>
              <m:rPr>
                <m:sty m:val="p"/>
              </m:rPr>
              <m:t>T</m:t>
            </m:r>
            <m:r>
              <m:rPr>
                <m:sty m:val="p"/>
              </m:rPr>
              <m:t>C</m:t>
            </m:r>
            <m:r>
              <m:rPr>
                <m:sty m:val="p"/>
              </m:rPr>
              <m:t>I</m:t>
            </m:r>
          </m:e>
        </m:acc>
      </m:oMath>
      <w:r>
        <w:t xml:space="preserve"> </w:t>
      </w:r>
      <w:r>
        <w:t xml:space="preserve">effect (β = 0.090, p =</w:t>
      </w:r>
      <w:r>
        <w:t xml:space="preserve"> </w:t>
      </w:r>
      <w:r>
        <w:t xml:space="preserve">.096) and a null</w:t>
      </w:r>
      <w:r>
        <w:t xml:space="preserve"> </w:t>
      </w:r>
      <m:oMath>
        <m:acc>
          <m:accPr>
            <m:chr m:val="̃"/>
          </m:accPr>
          <m:e>
            <m:r>
              <m:rPr>
                <m:sty m:val="p"/>
              </m:rPr>
              <m:t>D</m:t>
            </m:r>
            <m:r>
              <m:rPr>
                <m:sty m:val="p"/>
              </m:rPr>
              <m:t>A</m:t>
            </m:r>
            <m:r>
              <m:rPr>
                <m:sty m:val="p"/>
              </m:rPr>
              <m:t>I</m:t>
            </m:r>
          </m:e>
        </m:acc>
      </m:oMath>
      <w:r>
        <w:t xml:space="preserve"> </w:t>
      </w:r>
      <w:r>
        <w:t xml:space="preserve">effect (β = 0.068, p = .133). The DAI moderation channel is concentrated in manufacturing (M8 joint p = .103, marginal;</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w:t>
      </w:r>
      <w:r>
        <w:t xml:space="preserve"> </w:t>
      </w:r>
      <m:oMath>
        <m:sSup>
          <m:e>
            <m:r>
              <m:rPr>
                <m:sty m:val="p"/>
              </m:rPr>
              <m:t>F</m:t>
            </m:r>
            <m:r>
              <m:rPr>
                <m:sty m:val="p"/>
              </m:rPr>
              <m:t>S</m:t>
            </m:r>
            <m:r>
              <m:rPr>
                <m:sty m:val="p"/>
              </m:rPr>
              <m:t>T</m:t>
            </m:r>
            <m:r>
              <m:rPr>
                <m:sty m:val="p"/>
              </m:rPr>
              <m:t>S</m:t>
            </m:r>
          </m:e>
          <m:sup>
            <m:r>
              <m:t>c</m:t>
            </m:r>
          </m:sup>
        </m:sSup>
      </m:oMath>
      <w:r>
        <w:t xml:space="preserve"> </w:t>
      </w:r>
      <w:r>
        <w:t xml:space="preserve">term (β = -0.861, p &lt; .001)</w:t>
      </w:r>
      <w:r>
        <w:t xml:space="preserve"> </w:t>
      </w:r>
      <w:r>
        <w:t xml:space="preserve">but a non-significant quadratic term (</w:t>
      </w:r>
      <m:oMath>
        <m:sSup>
          <m:e>
            <m:r>
              <m:rPr>
                <m:sty m:val="p"/>
              </m:rPr>
              <m:t>F</m:t>
            </m:r>
            <m:r>
              <m:rPr>
                <m:sty m:val="p"/>
              </m:rPr>
              <m:t>S</m:t>
            </m:r>
            <m:r>
              <m:rPr>
                <m:sty m:val="p"/>
              </m:rPr>
              <m:t>T</m:t>
            </m:r>
            <m:r>
              <m:rPr>
                <m:sty m:val="p"/>
              </m:rPr>
              <m:t>S</m:t>
            </m:r>
          </m:e>
          <m:sup>
            <m:r>
              <m:t>c</m:t>
            </m:r>
          </m:sup>
        </m:sSup>
      </m:oMath>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p>
          <m:e>
            <m:r>
              <m:rPr>
                <m:sty m:val="p"/>
              </m:rPr>
              <m:t>F</m:t>
            </m:r>
            <m:r>
              <m:rPr>
                <m:sty m:val="p"/>
              </m:rPr>
              <m:t>S</m:t>
            </m:r>
            <m:r>
              <m:rPr>
                <m:sty m:val="p"/>
              </m:rPr>
              <m:t>T</m:t>
            </m:r>
            <m:r>
              <m:rPr>
                <m:sty m:val="p"/>
              </m:rPr>
              <m:t>S</m:t>
            </m:r>
          </m:e>
          <m:sup>
            <m:r>
              <m:t>c</m:t>
            </m:r>
          </m:sup>
        </m:sSup>
      </m:oMath>
    </w:p>
    <w:p>
      <w:pPr>
        <w:pStyle w:val="BodyText"/>
      </w:pPr>
      <w:r>
        <w:t xml:space="preserve">× wave,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wave,</w:t>
      </w:r>
      <w:r>
        <w:t xml:space="preserve"> </w:t>
      </w:r>
      <m:oMath>
        <m:acc>
          <m:accPr>
            <m:chr m:val="̃"/>
          </m:accPr>
          <m:e>
            <m:r>
              <m:rPr>
                <m:sty m:val="p"/>
              </m:rPr>
              <m:t>D</m:t>
            </m:r>
            <m:r>
              <m:rPr>
                <m:sty m:val="p"/>
              </m:rPr>
              <m:t>A</m:t>
            </m:r>
            <m:r>
              <m:rPr>
                <m:sty m:val="p"/>
              </m:rPr>
              <m:t>I</m:t>
            </m:r>
          </m:e>
        </m:acc>
      </m:oMath>
      <w:r>
        <w:t xml:space="preserve"> </w:t>
      </w:r>
      <w:r>
        <w:t xml:space="preserve">× wave,</w:t>
      </w:r>
      <w:r>
        <w:t xml:space="preserve"> </w:t>
      </w:r>
      <m:oMath>
        <m:acc>
          <m:accPr>
            <m:chr m:val="̃"/>
          </m:accPr>
          <m:e>
            <m:r>
              <m:rPr>
                <m:sty m:val="p"/>
              </m:rPr>
              <m:t>T</m:t>
            </m:r>
            <m:r>
              <m:rPr>
                <m:sty m:val="p"/>
              </m:rPr>
              <m:t>C</m:t>
            </m:r>
            <m:r>
              <m:rPr>
                <m:sty m:val="p"/>
              </m:rPr>
              <m:t>I</m:t>
            </m:r>
          </m:e>
        </m:acc>
      </m:oMath>
      <w:r>
        <w:t xml:space="preserve"> </w:t>
      </w:r>
      <w:r>
        <w:t xml:space="preserve">× wave). The joint Wald tests show that</w:t>
      </w:r>
      <w:r>
        <w:t xml:space="preserve"> </w:t>
      </w:r>
      <w:r>
        <w:t xml:space="preserve">only</w:t>
      </w:r>
      <w:r>
        <w:t xml:space="preserve"> </w:t>
      </w:r>
      <m:oMath>
        <m:acc>
          <m:accPr>
            <m:chr m:val="̃"/>
          </m:accPr>
          <m:e>
            <m:r>
              <m:rPr>
                <m:sty m:val="p"/>
              </m:rPr>
              <m:t>D</m:t>
            </m:r>
            <m:r>
              <m:rPr>
                <m:sty m:val="p"/>
              </m:rPr>
              <m:t>A</m:t>
            </m:r>
            <m:r>
              <m:rPr>
                <m:sty m:val="p"/>
              </m:rPr>
              <m:t>I</m:t>
            </m:r>
          </m:e>
        </m:acc>
      </m:oMath>
      <w:r>
        <w:t xml:space="preserve"> </w:t>
      </w:r>
      <w:r>
        <w:t xml:space="preserve">× wave is statistically distinguishable from the pooled average (joint p = .016); the</w:t>
      </w:r>
    </w:p>
    <w:p>
      <w:pPr>
        <w:pStyle w:val="BodyText"/>
      </w:pPr>
      <w:r>
        <w:t xml:space="preserve">2 and</w:t>
      </w:r>
      <w:r>
        <w:t xml:space="preserve"> </w:t>
      </w:r>
      <m:oMath>
        <m:acc>
          <m:accPr>
            <m:chr m:val="̃"/>
          </m:accPr>
          <m:e>
            <m:r>
              <m:rPr>
                <m:sty m:val="p"/>
              </m:rPr>
              <m:t>T</m:t>
            </m:r>
            <m:r>
              <m:rPr>
                <m:sty m:val="p"/>
              </m:rPr>
              <m:t>C</m:t>
            </m:r>
            <m:r>
              <m:rPr>
                <m:sty m:val="p"/>
              </m:rPr>
              <m:t>I</m:t>
            </m:r>
          </m:e>
        </m:acc>
      </m:oMath>
      <w:r>
        <w:t xml:space="preserve"> </w:t>
      </w:r>
      <w:r>
        <w:t xml:space="preserve">direct-effect cross-wave differences are not statistically separable</w:t>
      </w:r>
      <w:r>
        <w:t xml:space="preserve"> </w:t>
      </w:r>
      <w:r>
        <w:t xml:space="preserve">(all joint p &gt; .25), and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and</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cross-wave differences</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r>
              <m:rPr>
                <m:sty m:val="p"/>
              </m:rPr>
              <m:t>F</m:t>
            </m:r>
            <m:r>
              <m:rPr>
                <m:sty m:val="p"/>
              </m:rPr>
              <m:t>S</m:t>
            </m:r>
            <m:r>
              <m:rPr>
                <m:sty m:val="p"/>
              </m:rPr>
              <m:t>T</m:t>
            </m:r>
            <m:r>
              <m:rPr>
                <m:sty m:val="p"/>
              </m:rPr>
              <m:t>S</m:t>
            </m:r>
          </m:e>
          <m:sup>
            <m:r>
              <m:t>c</m:t>
            </m:r>
          </m:sup>
        </m:sSup>
      </m:oMath>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2"/>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w:t>
      </w:r>
      <w:r>
        <w:t xml:space="preserve"> </w:t>
      </w:r>
      <m:oMath>
        <m:sSub>
          <m:e>
            <m:r>
              <m:rPr>
                <m:sty m:val="p"/>
              </m:rPr>
              <m:t>D</m:t>
            </m:r>
            <m:r>
              <m:rPr>
                <m:sty m:val="p"/>
              </m:rPr>
              <m:t>A</m:t>
            </m:r>
            <m:r>
              <m:rPr>
                <m:sty m:val="p"/>
              </m:rPr>
              <m:t>I</m:t>
            </m:r>
          </m:e>
          <m:sub>
            <m:r>
              <m:rPr>
                <m:nor/>
                <m:sty m:val="p"/>
              </m:rPr>
              <m:t>rich</m:t>
            </m:r>
          </m:sub>
        </m:sSub>
      </m:oMath>
      <w:r>
        <w:t xml:space="preserve"> </w:t>
      </w:r>
      <w:r>
        <w:t xml:space="preserve">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r>
        <w:t xml:space="preserve"> </w:t>
      </w:r>
      <w:r>
        <w:t xml:space="preserve">Table 3 collates the robustness panels documented in 4.5 in a single overview to ease crosscomparison.</w:t>
      </w:r>
      <w:r>
        <w:t xml:space="preserve"> </w:t>
      </w:r>
      <w:r>
        <w:t xml:space="preserve">Table 4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sty m:val="p"/>
              </m:rPr>
              <m:t>T</m:t>
            </m:r>
            <m:r>
              <m:rPr>
                <m:sty m:val="p"/>
              </m:rPr>
              <m:t>C</m:t>
            </m:r>
            <m:r>
              <m:rPr>
                <m:sty m:val="p"/>
              </m:rPr>
              <m:t>I</m:t>
            </m:r>
          </m:e>
          <m:sub>
            <m:r>
              <m:rPr>
                <m:nor/>
                <m:sty m:val="p"/>
              </m:rPr>
              <m:t>full</m:t>
            </m:r>
          </m:sub>
        </m:sSub>
      </m:oMath>
      <w:r>
        <w:t xml:space="preserve"> </w:t>
      </w:r>
      <w:r>
        <w:t xml:space="preserve">= broader TCI composite;</w:t>
      </w:r>
      <w:r>
        <w:t xml:space="preserve"> </w:t>
      </w:r>
      <m:oMath>
        <m:sSub>
          <m:e>
            <m:r>
              <m:rPr>
                <m:sty m:val="p"/>
              </m:rPr>
              <m:t>D</m:t>
            </m:r>
            <m:r>
              <m:rPr>
                <m:sty m:val="p"/>
              </m:rPr>
              <m:t>A</m:t>
            </m:r>
            <m:r>
              <m:rPr>
                <m:sty m:val="p"/>
              </m:rPr>
              <m:t>I</m:t>
            </m:r>
          </m:e>
          <m:sub>
            <m:r>
              <m:rPr>
                <m:nor/>
                <m:sty m:val="p"/>
              </m:rPr>
              <m:t>rich</m:t>
            </m:r>
          </m:sub>
        </m:sSub>
      </m:oMath>
      <w:r>
        <w:t xml:space="preserve"> </w:t>
      </w:r>
      <w:r>
        <w:t xml:space="preserve">=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(2015)</w:t>
      </w:r>
      <w:r>
        <w:t xml:space="preserve"> </w:t>
      </w:r>
      <w:r>
        <w:t xml:space="preserve">956 TCI_full_z = 0.056 (p = .253) n.s.;</w:t>
      </w:r>
      <w:r>
        <w:t xml:space="preserve"> </w:t>
      </w:r>
      <m:oMath>
        <m:acc>
          <m:accPr>
            <m:chr m:val="̃"/>
          </m:accPr>
          <m:e>
            <m:r>
              <m:rPr>
                <m:sty m:val="p"/>
              </m:rPr>
              <m:t>D</m:t>
            </m:r>
            <m:r>
              <m:rPr>
                <m:sty m:val="p"/>
              </m:rPr>
              <m:t>A</m:t>
            </m:r>
            <m:r>
              <m:rPr>
                <m:sty m:val="p"/>
              </m:rPr>
              <m:t>I</m:t>
            </m:r>
          </m:e>
        </m:acc>
      </m:oMath>
      <w:r>
        <w:t xml:space="preserve"> </w:t>
      </w:r>
      <w:r>
        <w:t xml:space="preserve">= M3 joint p = .492 n.s.</w:t>
      </w:r>
      <w:r>
        <w:t xml:space="preserve"> </w:t>
      </w:r>
      <w:r>
        <w:t xml:space="preserve">−0.033 n.s.</w:t>
      </w:r>
      <w:r>
        <w:t xml:space="preserve"> </w:t>
      </w:r>
      <w:r>
        <w:t xml:space="preserve">A.</w:t>
      </w:r>
      <w:r>
        <w:t xml:space="preserve"> </w:t>
      </w:r>
      <m:oMath>
        <m:sSub>
          <m:e>
            <m:r>
              <m:rPr>
                <m:sty m:val="p"/>
              </m:rPr>
              <m:t>T</m:t>
            </m:r>
            <m:r>
              <m:rPr>
                <m:sty m:val="p"/>
              </m:rPr>
              <m:t>C</m:t>
            </m:r>
            <m:r>
              <m:rPr>
                <m:sty m:val="p"/>
              </m:rPr>
              <m:t>I</m:t>
            </m:r>
          </m:e>
          <m:sub>
            <m:r>
              <m:rPr>
                <m:nor/>
                <m:sty m:val="p"/>
              </m:rPr>
              <m:t>full</m:t>
            </m:r>
          </m:sub>
        </m:sSub>
      </m:oMath>
      <w:r>
        <w:t xml:space="preserve"> </w:t>
      </w:r>
      <w:r>
        <w:t xml:space="preserve">direct (2023)</w:t>
      </w:r>
      <w:r>
        <w:t xml:space="preserve"> </w:t>
      </w:r>
      <w:r>
        <w:t xml:space="preserve">1,013 TCI_full_z = 0.096 (p = .024);</w:t>
      </w:r>
      <w:r>
        <w:t xml:space="preserve"> </w:t>
      </w:r>
      <m:oMath>
        <m:acc>
          <m:accPr>
            <m:chr m:val="̃"/>
          </m:accPr>
          <m:e>
            <m:r>
              <m:rPr>
                <m:sty m:val="p"/>
              </m:rPr>
              <m:t>D</m:t>
            </m:r>
            <m:r>
              <m:rPr>
                <m:sty m:val="p"/>
              </m:rPr>
              <m:t>A</m:t>
            </m:r>
            <m:r>
              <m:rPr>
                <m:sty m:val="p"/>
              </m:rPr>
              <m:t>I</m:t>
            </m:r>
          </m:e>
        </m:acc>
      </m:oMath>
      <w:r>
        <w:t xml:space="preserve"> </w:t>
      </w:r>
      <w:r>
        <w:t xml:space="preserve">= M3 joint p = .152 n.s.</w:t>
      </w:r>
      <w:r>
        <w:t xml:space="preserve"> </w:t>
      </w:r>
      <w:r>
        <w:t xml:space="preserve">0.097 (p = .037)</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continuous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DAI_rich_cont_z = −0.933 † (p M8 joint p = .099 †</w:t>
      </w:r>
      <w:r>
        <w:t xml:space="preserve"> </w:t>
      </w:r>
      <w:r>
        <w:t xml:space="preserve">= .076)</w:t>
      </w:r>
      <w:r>
        <w:t xml:space="preserve"> </w:t>
      </w:r>
      <w:r>
        <w:t xml:space="preserve">B.</w:t>
      </w:r>
      <w:r>
        <w:t xml:space="preserve"> </w:t>
      </w:r>
      <m:oMath>
        <m:sSub>
          <m:e>
            <m:r>
              <m:rPr>
                <m:sty m:val="p"/>
              </m:rPr>
              <m:t>D</m:t>
            </m:r>
            <m:r>
              <m:rPr>
                <m:sty m:val="p"/>
              </m:rPr>
              <m:t>A</m:t>
            </m:r>
            <m:r>
              <m:rPr>
                <m:sty m:val="p"/>
              </m:rPr>
              <m:t>I</m:t>
            </m:r>
          </m:e>
          <m:sub>
            <m:r>
              <m:rPr>
                <m:nor/>
                <m:sty m:val="p"/>
              </m:rPr>
              <m:t>rich</m:t>
            </m:r>
          </m:sub>
        </m:sSub>
      </m:oMath>
      <w:r>
        <w:t xml:space="preserve"> </w:t>
      </w:r>
      <w:r>
        <w:t xml:space="preserve">binary (2023)</w:t>
      </w:r>
      <w:r>
        <w:t xml:space="preserve"> </w:t>
      </w:r>
      <w:r>
        <w:t xml:space="preserve">1,013</w:t>
      </w:r>
      <w:r>
        <w:t xml:space="preserve"> </w:t>
      </w:r>
      <m:oMath>
        <m:sSup>
          <m:e>
            <m:r>
              <m:rPr>
                <m:sty m:val="p"/>
              </m:rPr>
              <m:t>F</m:t>
            </m:r>
            <m:r>
              <m:rPr>
                <m:sty m:val="p"/>
              </m:rPr>
              <m:t>S</m:t>
            </m:r>
            <m:r>
              <m:rPr>
                <m:sty m:val="p"/>
              </m:rPr>
              <m:t>T</m:t>
            </m:r>
            <m:r>
              <m:rPr>
                <m:sty m:val="p"/>
              </m:rPr>
              <m:t>S</m:t>
            </m:r>
          </m:e>
          <m:sup>
            <m:r>
              <m:t>c</m:t>
            </m:r>
          </m:sup>
        </m:sSup>
      </m:oMath>
      <w:r>
        <w:t xml:space="preserve"> </w:t>
      </w:r>
      <w:r>
        <w:t xml:space="preserve">× DAI_rich_bin_z = −0.893 (p = M8 joint p = .243 n.s.</w:t>
      </w:r>
      <w:r>
        <w:t xml:space="preserve"> </w:t>
      </w:r>
      <w:r>
        <w:t xml:space="preserve">.169) n.s.</w:t>
      </w:r>
      <w:r>
        <w:t xml:space="preserve"> </w:t>
      </w:r>
      <w:r>
        <w:t xml:space="preserve">C. Common-N reconciled (2023) 1,013</w:t>
      </w:r>
      <w:r>
        <w:t xml:space="preserve"> </w:t>
      </w:r>
      <m:oMath>
        <m:acc>
          <m:accPr>
            <m:chr m:val="̃"/>
          </m:accPr>
          <m:e>
            <m:r>
              <m:rPr>
                <m:sty m:val="p"/>
              </m:rPr>
              <m:t>D</m:t>
            </m:r>
            <m:r>
              <m:rPr>
                <m:sty m:val="p"/>
              </m:rPr>
              <m:t>A</m:t>
            </m:r>
            <m:r>
              <m:rPr>
                <m:sty m:val="p"/>
              </m:rPr>
              <m:t>I</m:t>
            </m:r>
          </m:e>
        </m:acc>
      </m:oMath>
      <w:r>
        <w:t xml:space="preserve"> </w:t>
      </w:r>
      <w:r>
        <w:t xml:space="preserve">moderation re-estimated on identical M8 joint p = .062 †</w:t>
      </w:r>
      <w:r>
        <w:t xml:space="preserve"> </w:t>
      </w:r>
      <w:r>
        <w:t xml:space="preserve">2023 sample</w:t>
      </w:r>
      <w:r>
        <w:t xml:space="preserve"> </w:t>
      </w:r>
      <w:r>
        <w:t xml:space="preserve">D. Micro-firm exclusion (l1 ≥ 10) 2,473</w:t>
      </w:r>
      <w:r>
        <w:t xml:space="preserve"> </w:t>
      </w:r>
      <m:oMath>
        <m:acc>
          <m:accPr>
            <m:chr m:val="̃"/>
          </m:accPr>
          <m:e>
            <m:r>
              <m:rPr>
                <m:sty m:val="p"/>
              </m:rPr>
              <m:t>T</m:t>
            </m:r>
            <m:r>
              <m:rPr>
                <m:sty m:val="p"/>
              </m:rPr>
              <m:t>C</m:t>
            </m:r>
            <m:r>
              <m:rPr>
                <m:sty m:val="p"/>
              </m:rPr>
              <m:t>I</m:t>
            </m:r>
          </m:e>
        </m:acc>
      </m:oMath>
      <w:r>
        <w:t xml:space="preserve"> </w:t>
      </w:r>
      <w:r>
        <w:t xml:space="preserve">= 0.188 ;</w:t>
      </w:r>
      <w:r>
        <w:t xml:space="preserve"> </w:t>
      </w:r>
      <m:oMath>
        <m:acc>
          <m:accPr>
            <m:chr m:val="̃"/>
          </m:accPr>
          <m:e>
            <m:r>
              <m:rPr>
                <m:sty m:val="p"/>
              </m:rPr>
              <m:t>D</m:t>
            </m:r>
            <m:r>
              <m:rPr>
                <m:sty m:val="p"/>
              </m:rPr>
              <m:t>A</m:t>
            </m:r>
            <m:r>
              <m:rPr>
                <m:sty m:val="p"/>
              </m:rPr>
              <m:t>I</m:t>
            </m:r>
          </m:e>
        </m:acc>
      </m:oMath>
      <w:r>
        <w:t xml:space="preserve"> </w:t>
      </w:r>
      <w:r>
        <w:t xml:space="preserve">= 0.054 n.s.</w:t>
      </w:r>
      <w:r>
        <w:t xml:space="preserve"> </w:t>
      </w:r>
      <w:r>
        <w:t xml:space="preserve">M8 joint p = .167 n.s.</w:t>
      </w:r>
      <w:r>
        <w:t xml:space="preserve"> </w:t>
      </w:r>
      <w:r>
        <w:t xml:space="preserve">G. Manufacturing (sector1 1,854</w:t>
      </w:r>
      <w:r>
        <w:t xml:space="preserve"> </w:t>
      </w:r>
      <m:oMath>
        <m:acc>
          <m:accPr>
            <m:chr m:val="̃"/>
          </m:accPr>
          <m:e>
            <m:r>
              <m:rPr>
                <m:sty m:val="p"/>
              </m:rPr>
              <m:t>T</m:t>
            </m:r>
            <m:r>
              <m:rPr>
                <m:sty m:val="p"/>
              </m:rPr>
              <m:t>C</m:t>
            </m:r>
            <m:r>
              <m:rPr>
                <m:sty m:val="p"/>
              </m:rPr>
              <m:t>I</m:t>
            </m:r>
          </m:e>
        </m:acc>
      </m:oMath>
      <w:r>
        <w:t xml:space="preserve"> </w:t>
      </w:r>
      <w:r>
        <w:t xml:space="preserve">= 0.223 ;</w:t>
      </w:r>
      <w:r>
        <w:t xml:space="preserve"> </w:t>
      </w:r>
      <m:oMath>
        <m:acc>
          <m:accPr>
            <m:chr m:val="̃"/>
          </m:accPr>
          <m:e>
            <m:r>
              <m:rPr>
                <m:sty m:val="p"/>
              </m:rPr>
              <m:t>D</m:t>
            </m:r>
            <m:r>
              <m:rPr>
                <m:sty m:val="p"/>
              </m:rPr>
              <m:t>A</m:t>
            </m:r>
            <m:r>
              <m:rPr>
                <m:sty m:val="p"/>
              </m:rPr>
              <m:t>I</m:t>
            </m:r>
          </m:e>
        </m:acc>
      </m:oMath>
      <w:r>
        <w:t xml:space="preserve"> </w:t>
      </w:r>
      <w:r>
        <w:t xml:space="preserve">= 0.087 ; M8 joint p = .103 †</w:t>
      </w:r>
      <w:r>
        <w:t xml:space="preserve"> </w:t>
      </w:r>
      <w:r>
        <w:t xml:space="preserve">∈ {1, 2, 3})</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w:t>
      </w:r>
      <w:r>
        <w:t xml:space="preserve"> </w:t>
      </w:r>
      <w:r>
        <w:t xml:space="preserve">H. Exporter-only (FSTS &gt; 0, 669</w:t>
      </w:r>
      <w:r>
        <w:t xml:space="preserve"> </w:t>
      </w:r>
      <m:oMath>
        <m:sSup>
          <m:e>
            <m:r>
              <m:rPr>
                <m:sty m:val="p"/>
              </m:rPr>
              <m:t>F</m:t>
            </m:r>
            <m:r>
              <m:rPr>
                <m:sty m:val="p"/>
              </m:rPr>
              <m:t>S</m:t>
            </m:r>
            <m:r>
              <m:rPr>
                <m:sty m:val="p"/>
              </m:rPr>
              <m:t>T</m:t>
            </m:r>
            <m:r>
              <m:rPr>
                <m:sty m:val="p"/>
              </m:rPr>
              <m:t>S</m:t>
            </m:r>
          </m:e>
          <m:sup>
            <m:r>
              <m:t>c</m:t>
            </m:r>
          </m:sup>
        </m:sSup>
      </m:oMath>
      <w:r>
        <w:t xml:space="preserve"> </w:t>
      </w:r>
      <w:r>
        <w:t xml:space="preserve">= −0.861 ;</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−0.200 M8 joint p = .462 n.s.</w:t>
      </w:r>
      <w:r>
        <w:t xml:space="preserve"> </w:t>
      </w:r>
      <w:r>
        <w:t xml:space="preserve">pooled)</w:t>
      </w:r>
      <w:r>
        <w:t xml:space="preserve"> </w:t>
      </w:r>
      <w:r>
        <w:t xml:space="preserve">n.s.</w:t>
      </w:r>
      <w:r>
        <w:t xml:space="preserve"> </w:t>
      </w:r>
      <w:r>
        <w:t xml:space="preserve">I. Wave × focal interaction 2,958</w:t>
      </w:r>
      <w:r>
        <w:t xml:space="preserve"> </w:t>
      </w:r>
      <m:oMath>
        <m:acc>
          <m:accPr>
            <m:chr m:val="̃"/>
          </m:accPr>
          <m:e>
            <m:r>
              <m:rPr>
                <m:sty m:val="p"/>
              </m:rPr>
              <m:t>D</m:t>
            </m:r>
            <m:r>
              <m:rPr>
                <m:sty m:val="p"/>
              </m:rPr>
              <m:t>A</m:t>
            </m:r>
            <m:r>
              <m:rPr>
                <m:sty m:val="p"/>
              </m:rPr>
              <m:t>I</m:t>
            </m:r>
          </m:e>
        </m:acc>
      </m:oMath>
      <w:r>
        <w:t xml:space="preserve"> </w:t>
      </w:r>
      <w:r>
        <w:t xml:space="preserve">×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w:t>
      </w:r>
      <w:r>
        <w:t xml:space="preserve"> </w:t>
      </w:r>
      <m:oMath>
        <m:acc>
          <m:accPr>
            <m:chr m:val="̃"/>
          </m:accPr>
          <m:e>
            <m:r>
              <m:rPr>
                <m:sty m:val="p"/>
              </m:rPr>
              <m:t>D</m:t>
            </m:r>
            <m:r>
              <m:rPr>
                <m:sty m:val="p"/>
              </m:rPr>
              <m:t>A</m:t>
            </m:r>
            <m:r>
              <m:rPr>
                <m:sty m:val="p"/>
              </m:rPr>
              <m:t>I</m:t>
            </m:r>
          </m:e>
        </m:acc>
      </m:oMath>
      <w:r>
        <w:t xml:space="preserve"> </w:t>
      </w:r>
      <w:r>
        <w:t xml:space="preserve">2,298</w:t>
      </w:r>
      <w:r>
        <w:t xml:space="preserve"> </w:t>
      </w:r>
      <m:oMath>
        <m:acc>
          <m:accPr>
            <m:chr m:val="̃"/>
          </m:accPr>
          <m:e>
            <m:r>
              <m:rPr>
                <m:sty m:val="p"/>
              </m:rPr>
              <m:t>D</m:t>
            </m:r>
            <m:r>
              <m:rPr>
                <m:sty m:val="p"/>
              </m:rPr>
              <m:t>A</m:t>
            </m:r>
            <m:r>
              <m:rPr>
                <m:sty m:val="p"/>
              </m:rPr>
              <m:t>I</m:t>
            </m:r>
          </m:e>
        </m:acc>
      </m:oMath>
      <w:r>
        <w:t xml:space="preserve"> </w:t>
      </w:r>
      <w:r>
        <w:t xml:space="preserve">= 0.018 (p = .942) n.s.</w:t>
      </w:r>
      <w:r>
        <w:t xml:space="preserve"> </w:t>
      </w:r>
      <w:r>
        <w:t xml:space="preserve">First-stage F = 34.6</w:t>
      </w:r>
      <w:r>
        <w:t xml:space="preserve"> </w:t>
      </w:r>
      <w:r>
        <w:t xml:space="preserve">(strong)</w:t>
      </w:r>
      <w:r>
        <w:t xml:space="preserve"> </w:t>
      </w:r>
      <w:r>
        <w:t xml:space="preserve">K. IV / 2SLS —</w:t>
      </w:r>
      <w:r>
        <w:t xml:space="preserve"> </w:t>
      </w:r>
      <m:oMath>
        <m:acc>
          <m:accPr>
            <m:chr m:val="̃"/>
          </m:accPr>
          <m:e>
            <m:r>
              <m:rPr>
                <m:sty m:val="p"/>
              </m:rPr>
              <m:t>T</m:t>
            </m:r>
            <m:r>
              <m:rPr>
                <m:sty m:val="p"/>
              </m:rPr>
              <m:t>C</m:t>
            </m:r>
            <m:r>
              <m:rPr>
                <m:sty m:val="p"/>
              </m:rPr>
              <m:t>I</m:t>
            </m:r>
          </m:e>
        </m:acc>
      </m:oMath>
      <w:r>
        <w:t xml:space="preserve"> </w:t>
      </w:r>
      <w:r>
        <w:t xml:space="preserve">2,298</w:t>
      </w:r>
      <w:r>
        <w:t xml:space="preserve"> </w:t>
      </w:r>
      <m:oMath>
        <m:acc>
          <m:accPr>
            <m:chr m:val="̃"/>
          </m:accPr>
          <m:e>
            <m:r>
              <m:rPr>
                <m:sty m:val="p"/>
              </m:rPr>
              <m:t>T</m:t>
            </m:r>
            <m:r>
              <m:rPr>
                <m:sty m:val="p"/>
              </m:rPr>
              <m:t>C</m:t>
            </m:r>
            <m:r>
              <m:rPr>
                <m:sty m:val="p"/>
              </m:rPr>
              <m:t>I</m:t>
            </m:r>
          </m:e>
        </m:acc>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0.61; FSTSc2 −2.21, −1.17; No sign change; focal findTCI 0.14, 0.19; DAI 0.07,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controls + sector FE [+ wave FE in pooled]) and back-transformed to the raw FSTS scale. 95 %</w:t>
      </w:r>
      <w:r>
        <w:t xml:space="preserve"> </w:t>
      </w:r>
      <w:r>
        <w:t xml:space="preserve">confidence intervals use the delta method on the within-sample</w:t>
      </w:r>
      <w:r>
        <w:t xml:space="preserve"> </w:t>
      </w:r>
      <m:oMath>
        <m:sSup>
          <m:e>
            <m:r>
              <m:rPr>
                <m:sty m:val="p"/>
              </m:rPr>
              <m:t>F</m:t>
            </m:r>
            <m:r>
              <m:rPr>
                <m:sty m:val="p"/>
              </m:rPr>
              <m:t>S</m:t>
            </m:r>
            <m:r>
              <m:rPr>
                <m:sty m:val="p"/>
              </m:rPr>
              <m:t>T</m:t>
            </m:r>
            <m:r>
              <m:rPr>
                <m:sty m:val="p"/>
              </m:rPr>
              <m:t>S</m:t>
            </m:r>
          </m:e>
          <m:sup>
            <m:r>
              <m:t>c</m:t>
            </m:r>
          </m:sup>
        </m:sSup>
      </m:oMath>
      <w:r>
        <w:t xml:space="preserve"> </w:t>
      </w:r>
      <w:r>
        <w:t xml:space="preserve">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59"/>
    <w:bookmarkEnd w:id="60"/>
    <w:bookmarkEnd w:id="61"/>
    <w:bookmarkStart w:id="67" w:name="X735612638e4e736e4693e459c258977262c0dfc"/>
    <w:p>
      <w:pPr>
        <w:pStyle w:val="Heading2"/>
      </w:pPr>
      <w:r>
        <w:t xml:space="preserve">5. Discussion</w:t>
      </w:r>
    </w:p>
    <w:bookmarkStart w:id="62" w:name="Xac076a45bfd7ad272f1725313fc0a5f07b5e6aa"/>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m:oMath>
        <m:acc>
          <m:accPr>
            <m:chr m:val="̃"/>
          </m:accPr>
          <m:e>
            <m:r>
              <m:rPr>
                <m:sty m:val="p"/>
              </m:rPr>
              <m:t>T</m:t>
            </m:r>
            <m:r>
              <m:rPr>
                <m:sty m:val="p"/>
              </m:rPr>
              <m:t>C</m:t>
            </m:r>
            <m:r>
              <m:rPr>
                <m:sty m:val="p"/>
              </m:rPr>
              <m:t>I</m:t>
            </m:r>
          </m:e>
        </m:acc>
      </m:oMath>
      <w:r>
        <w:t xml:space="preserve"> </w:t>
      </w:r>
      <w:r>
        <w:t xml:space="preserve">and</w:t>
      </w:r>
      <w:r>
        <w:t xml:space="preserve"> </w:t>
      </w:r>
      <m:oMath>
        <m:acc>
          <m:accPr>
            <m:chr m:val="̃"/>
          </m:accPr>
          <m:e>
            <m:r>
              <m:rPr>
                <m:sty m:val="p"/>
              </m:rPr>
              <m:t>D</m:t>
            </m:r>
            <m:r>
              <m:rPr>
                <m:sty m:val="p"/>
              </m:rPr>
              <m:t>A</m:t>
            </m:r>
            <m:r>
              <m:rPr>
                <m:sty m:val="p"/>
              </m:rPr>
              <m:t>I</m:t>
            </m:r>
          </m:e>
        </m:acc>
      </m:oMath>
      <w:r>
        <w:t xml:space="preserve"> </w:t>
      </w:r>
      <w:r>
        <w:t xml:space="preserve">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11d90782b31b91de7149175db149c9db7848c44"/>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acc>
          <m:accPr>
            <m:chr m:val="̃"/>
          </m:accPr>
          <m:e>
            <m:r>
              <m:rPr>
                <m:sty m:val="p"/>
              </m:rPr>
              <m:t>T</m:t>
            </m:r>
            <m:r>
              <m:rPr>
                <m:sty m:val="p"/>
              </m:rPr>
              <m:t>C</m:t>
            </m:r>
            <m:r>
              <m:rPr>
                <m:sty m:val="p"/>
              </m:rPr>
              <m:t>I</m:t>
            </m:r>
          </m:e>
        </m:acc>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reported in 4.5 Panel B reinforces the construct interpretation</w:t>
      </w:r>
      <w:r>
        <w:t xml:space="preserve"> </w:t>
      </w:r>
      <w:r>
        <w:t xml:space="preserve">rather than weakening it. Although the primary</w:t>
      </w:r>
      <w:r>
        <w:t xml:space="preserve"> </w:t>
      </w:r>
      <m:oMath>
        <m:acc>
          <m:accPr>
            <m:chr m:val="̃"/>
          </m:accPr>
          <m:e>
            <m:r>
              <m:rPr>
                <m:sty m:val="p"/>
              </m:rPr>
              <m:t>D</m:t>
            </m:r>
            <m:r>
              <m:rPr>
                <m:sty m:val="p"/>
              </m:rPr>
              <m:t>A</m:t>
            </m:r>
            <m:r>
              <m:rPr>
                <m:sty m:val="p"/>
              </m:rPr>
              <m:t>I</m:t>
            </m:r>
          </m:e>
        </m:acc>
      </m:oMath>
      <w:r>
        <w:t xml:space="preserve"> </w:t>
      </w:r>
      <w:r>
        <w:t xml:space="preserve">anchored on c22b (website presence) is</w:t>
      </w:r>
      <w:r>
        <w:t xml:space="preserve"> </w:t>
      </w:r>
      <w:r>
        <w:t xml:space="preserve">by 2023 close to a Tier-1 baseline indicator,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available only in 2023, combining c22b with electronic-payment shares (k33, k38), produces a similarly directioned</w:t>
      </w:r>
      <w:r>
        <w:t xml:space="preserve"> </w:t>
      </w:r>
      <w:r>
        <w:t xml:space="preserve">and marginally significant moderation pattern (</w:t>
      </w:r>
      <m:oMath>
        <m:sSup>
          <m:e>
            <m:r>
              <m:rPr>
                <m:sty m:val="p"/>
              </m:rPr>
              <m:t>F</m:t>
            </m:r>
            <m:r>
              <m:rPr>
                <m:sty m:val="p"/>
              </m:rPr>
              <m:t>S</m:t>
            </m:r>
            <m:r>
              <m:rPr>
                <m:sty m:val="p"/>
              </m:rPr>
              <m:t>T</m:t>
            </m:r>
            <m:r>
              <m:rPr>
                <m:sty m:val="p"/>
              </m:rPr>
              <m:t>S</m:t>
            </m:r>
          </m:e>
          <m:sup>
            <m:r>
              <m:t>c</m:t>
            </m:r>
          </m:sup>
        </m:sSup>
      </m:oMath>
      <w:r>
        <w:t xml:space="preserve"> </w:t>
      </w:r>
      <w:r>
        <w:t xml:space="preserve">×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acc>
          <m:accPr>
            <m:chr m:val="̃"/>
          </m:accPr>
          <m:e>
            <m:r>
              <m:rPr>
                <m:sty m:val="p"/>
              </m:rPr>
              <m:t>T</m:t>
            </m:r>
            <m:r>
              <m:rPr>
                <m:sty m:val="p"/>
              </m:rPr>
              <m:t>C</m:t>
            </m:r>
            <m:r>
              <m:rPr>
                <m:sty m:val="p"/>
              </m:rPr>
              <m:t>I</m:t>
            </m:r>
          </m:e>
        </m:acc>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acc>
          <m:accPr>
            <m:chr m:val="̃"/>
          </m:accPr>
          <m:e>
            <m:r>
              <m:rPr>
                <m:sty m:val="p"/>
              </m:rPr>
              <m:t>D</m:t>
            </m:r>
            <m:r>
              <m:rPr>
                <m:sty m:val="p"/>
              </m:rPr>
              <m:t>A</m:t>
            </m:r>
            <m:r>
              <m:rPr>
                <m:sty m:val="p"/>
              </m:rPr>
              <m:t>I</m:t>
            </m:r>
          </m:e>
        </m:acc>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X6fc7b3f4bec2f08f42fd272b14eb963fc931ec0"/>
    <w:p>
      <w:pPr>
        <w:pStyle w:val="Heading3"/>
      </w:pPr>
      <w:r>
        <w:t xml:space="preserve">5.6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w:t>
      </w:r>
      <w:r>
        <w:t xml:space="preserve"> </w:t>
      </w:r>
      <m:oMath>
        <m:acc>
          <m:accPr>
            <m:chr m:val="̃"/>
          </m:accPr>
          <m:e>
            <m:r>
              <m:rPr>
                <m:sty m:val="p"/>
              </m:rPr>
              <m:t>D</m:t>
            </m:r>
            <m:r>
              <m:rPr>
                <m:sty m:val="p"/>
              </m:rPr>
              <m:t>A</m:t>
            </m:r>
            <m:r>
              <m:rPr>
                <m:sty m:val="p"/>
              </m:rPr>
              <m:t>I</m:t>
            </m:r>
          </m:e>
        </m:acc>
      </m:oMath>
      <w:r>
        <w:t xml:space="preserve"> </w:t>
      </w:r>
      <w:r>
        <w:t xml:space="preserve">captures only a foundational, Tier-1-style layer of digital adoption centred</w:t>
      </w:r>
      <w:r>
        <w:t xml:space="preserve"> </w:t>
      </w:r>
      <w:r>
        <w:t xml:space="preserve">on website presence, rather than digitally integrated organisational capability. The</w:t>
      </w:r>
      <w:r>
        <w:t xml:space="preserve"> </w:t>
      </w:r>
      <m:oMath>
        <m:sSub>
          <m:e>
            <m:r>
              <m:rPr>
                <m:sty m:val="p"/>
              </m:rPr>
              <m:t>D</m:t>
            </m:r>
            <m:r>
              <m:rPr>
                <m:sty m:val="p"/>
              </m:rPr>
              <m:t>A</m:t>
            </m:r>
            <m:r>
              <m:rPr>
                <m:sty m:val="p"/>
              </m:rPr>
              <m:t>I</m:t>
            </m:r>
          </m:e>
          <m:sub>
            <m:r>
              <m:rPr>
                <m:nor/>
                <m:sty m:val="p"/>
              </m:rPr>
              <m:t>rich</m:t>
            </m:r>
          </m:sub>
        </m:sSub>
      </m:oMath>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w:t>
      </w:r>
      <w:r>
        <w:t xml:space="preserve"> </w:t>
      </w:r>
      <m:oMath>
        <m:acc>
          <m:accPr>
            <m:chr m:val="̃"/>
          </m:accPr>
          <m:e>
            <m:r>
              <m:rPr>
                <m:sty m:val="p"/>
              </m:rPr>
              <m:t>D</m:t>
            </m:r>
            <m:r>
              <m:rPr>
                <m:sty m:val="p"/>
              </m:rPr>
              <m:t>A</m:t>
            </m:r>
            <m:r>
              <m:rPr>
                <m:sty m:val="p"/>
              </m:rPr>
              <m:t>I</m:t>
            </m:r>
          </m:e>
        </m:acc>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for example, Vietnam's National Digital Transformation Programme launched in 2020,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68"/>
    <w:bookmarkStart w:id="69" w:name="X19cad7d15381a9dfa000caf49ac5c69889e188d"/>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1"/>
  </w:num>
  <w:num w:numId="1002">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2026-05-21T03:31:42Z</dcterms:created>
  <dcterms:modified xsi:type="dcterms:W3CDTF">2026-05-21T03:31:42Z</dcterms:modified>
</cp:coreProperties>
</file>

<file path=docProps/custom.xml><?xml version="1.0" encoding="utf-8"?>
<Properties xmlns="http://schemas.openxmlformats.org/officeDocument/2006/custom-properties" xmlns:vt="http://schemas.openxmlformats.org/officeDocument/2006/docPropsVTypes"/>
</file>