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lại mối quan hệ giữa quốc tế hoá và hiệu quả hoạt động kinh doanh của doanh nghiệp tại một thị trường mới nổi, đồng thời khảo sát vai trò của năng lực công nghệ nước ngoài và áp dụng công nghệ số nền tảng đối với năng suất doanh nghiệp trong điều kiện chuyển đổi thể chế và chuyển đổi số. Lấy Việt Nam làm trọng tâm, nghiên cứu đặt câu hỏi liệu cường độ xuất khẩu có liên hệ phi tuyến với năng suất lao động hay không, và liệu hai cấu trúc năng lực này có đóng những vai trò khác biệt theo từng đợt khảo sát hay không.</w:t>
      </w:r>
    </w:p>
    <w:p>
      <w:pPr>
        <w:pStyle w:val="BodyText"/>
      </w:pPr>
      <w:r>
        <w:rPr>
          <w:bCs/>
          <w:b/>
        </w:rPr>
        <w:t xml:space="preserve">Thiết kế / phương pháp luận / cách tiếp cận.</w:t>
      </w:r>
      <w:r>
        <w:t xml:space="preserve"> </w:t>
      </w:r>
      <w:r>
        <w:t xml:space="preserve">Nghiên cứu sử dụng ba đợt dữ liệu vi mô từ Khảo sát Doanh nghiệp của Ngân hàng Thế giới cho Việt Nam (2009, 2015 và 2023; N gộp = 2.958), ước lượng các mô hình bình phương nhỏ nhất theo từng đợt và gộp, kèm sai số chuẩn vững HC1, số hạng bậc hai của cường độ xuất khẩu và các đặc tả tương tác. Chỉ số Năng lực Công nghệ (Technological Capability Index, TCI) được xây dựng từ chứng nhận chất lượng được công nhận quốc tế và công nghệ được cấp phép nước ngoài; Chỉ số Áp dụng Số nền tảng (Digital Adoption Index, DAI) đo bằng sự hiện diện website. Hai chỉ số không chia sẻ bất kỳ chỉ báo nào.</w:t>
      </w:r>
    </w:p>
    <w:p>
      <w:pPr>
        <w:pStyle w:val="BodyText"/>
      </w:pPr>
      <w:r>
        <w:rPr>
          <w:bCs/>
          <w:b/>
        </w:rPr>
        <w:t xml:space="preserve">Kết quả nghiên cứu.</w:t>
      </w:r>
      <w:r>
        <w:t xml:space="preserve"> </w:t>
      </w:r>
      <w:r>
        <w:t xml:space="preserve">Lợi ích năng suất của quốc tế hoá tập trung tại biên tham gia, tức bước chuyển từ không xuất khẩu sang xuất khẩu, trong khi cường độ xuất khẩu trong nhóm doanh nghiệp đã xuất khẩu mang lại lợi suất biên giảm dần đến triệt tiêu. Đường chữ U ngược toàn mẫu (điểm ngoặt 39-46% cường độ xuất khẩu) được nhận diện chủ yếu thông qua bước tham gia này chứ không qua độ cong dày đặc bên trong nhóm doanh nghiệp xuất khẩu. Năng lực công nghệ thể hiện liên hệ thuận chiều với năng suất trong cả ba đợt; áp dụng số nền tảng có hệ số dương trong 2009 và 2023 nhưng không ý nghĩa thống kê trong 2015, và ước lượng biến công cụ cho thấy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đóng góp cho tài liệu về thị trường mới nổi trong kinh doanh quốc tế bằng cách phân tách năng lực công nghệ nước ngoài khỏi áp dụng số nền tảng và bằng cách cho thấy các tác động số gộp có thể che lấp tính không đồng nhất theo thời gian đáng kể. Phát hiện gợi ý rằng tính liên quan đến năng suất của áp dụng số cơ bản nhạy cảm với bối cảnh và đặc trưng theo đợt khảo sát hơn là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không nên giả định rằng quốc tế hoá sẽ tạo ra một khoản phụ trội hiệu quả tuyến tính đơn giản. Doanh nghiệp có thể tiếp cận các thị trường lớn hơn, hưởng lợi từ học hỏi và đa dạng hoá dòng doanh thu, nhưng cũng có thể đối mặt với chi phí phối hợp (coordination cost) tăng cao, gánh nặng xử lý thông tin và sức ép tổ chức khi mức độ tham gia nước ngoài sâu hơn (Wright et al., 2005; Cuervo-Cazurra and Genc, 2008; Wu et al., 2016).</w:t>
      </w:r>
    </w:p>
    <w:p>
      <w:pPr>
        <w:pStyle w:val="BodyText"/>
      </w:pPr>
      <w:r>
        <w:t xml:space="preserve">Sự căng thẳng này nằm ở trung tâm của tài liệu I–P. Một truyền thống nghiên cứu lâu đời lập luận rằng quốc tế hoá có thể cải thiện hiệu quả ở các mức thấp và trung gian thông qua quy mô, học hỏi và đa dạng hoá, đồng thời tạo ra lợi suất giảm dần hoặc âm ở các mức cao hơn do tính phức tạp và gánh nặng phối hợp. Bằng chứng từ phân tích tổng hợp mạnh mẽ ủng hộ quan điểm rằng tính phi tuyến là một đặc trưng trung tâm của mối quan hệ này chứ không phải một bất thường thực nghiệm (Vernon, 1979; Lu and Beamish, 2004; Hennart, 2007; Coviello et al., 2017; Marano et al., 2016).</w:t>
      </w:r>
    </w:p>
    <w:p>
      <w:pPr>
        <w:pStyle w:val="BodyText"/>
      </w:pPr>
      <w:r>
        <w:t xml:space="preserve">Số hoá bổ sung thêm một lớp phức tạp cho cuộc tranh luận này. Công cụ số có thể giảm ma sát giao tiếp, đẩy nhanh giao dịch và hỗ trợ phối hợp xuyên biên giới. Tuy nhiên, những lợi ích đó không phát sinh tự động. Giá trị thực tế của chúng phụ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Vì lý do này, không nên xem năng lực số như một nguồn lực có lợi phổ quát với mức sinh lời không đổi giữa các doanh nghiệp và theo thời gian.</w:t>
      </w:r>
    </w:p>
    <w:p>
      <w:pPr>
        <w:pStyle w:val="BodyText"/>
      </w:pPr>
      <w:r>
        <w:t xml:space="preserve">Bối cảnh Việt Nam khiến vấn đề này trở nên đặc biệt quan trọng. Vì doanh nghiệp được nhúng trong một nền kinh tế đang nâng cấp năng lực và chuyển đổi số, lợi ích từ quốc tế hoá và mức sinh lời từ số hoá đều có thể thay đổi giữa các giai đoạn phát triển. Điều này đặt ra một câu hỏi trung tâm cho nghiên cứu hiện tại: liệu năng lực số ở Việt Nam có vận hành như một tài sản ổn định nâng cao hiệu quả, hay nó vận hành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Bản thân thành phần của nhóm doanh nghiệp xuất khẩu cũng tiến triển qua ba đợt: tỉ lệ doanh nghiệp báo cáo cường độ xuất khẩu trực tiếp dương suy giảm khi các doanh nghiệp dịch vụ và doanh nghiệp chuỗi cung ứng liên kết FDI gia nhập mẫu, trong khi mức trung bình của áp dụng công nghệ số nền tảng tăng lên cùng sự lan toả của website, hệ thống thanh toán điện tử và các giao diện giao dịch số. Đọc mối quan hệ I–P và kênh áp dụng công nghệ số như những sự kiện cấu trúc cố định xuyên suốt cửa sổ mười bốn năm này sẽ bỏ qua thực tế rằng quần thể doanh nghiệp nền, các chi phí phối hợp ràng buộc và bộ khung thể chế cho thương mại xuyên biên giới đều thay đổi đáng kể về mặt vật chất.</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nghiên cứu hiện hữu thường xem số hoá như một nguồn lực tích cực một cách rộng rãi mà chưa chú ý đầy đủ đến sự biến đổi theo thời gian và bối cảnh trong mức sinh lời của nó. Cách xử lý như vậy có nguy cơ ngụ ý rằng áp dụng công nghệ số tạo ra một khoản phụ trội hiệu quả tương đối ổn định giữa các doanh nghiệp và qua các giai đoạn chuyển đổi kinh tế (Strange and Zucchella, 2017; Goldfarb and Tucker, 2019). Trên thực tế, số hoá có thể sinh ra lợi suất không đồng đều bởi vì các doanh nghiệp khác biệt về quy mô, thông lệ và năng lực bổ trợ.</w:t>
      </w:r>
    </w:p>
    <w:p>
      <w:pPr>
        <w:pStyle w:val="BodyText"/>
      </w:pPr>
      <w:r>
        <w:t xml:space="preserve">Thứ hai,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Ngược lại, áp dụng công nghệ số nền tảng phản ánh một lớp cơ bản hơn về mức độ sẵn sàng số và các giao diện hoặc cơ chế giao dịch có hỗ trợ số (Bharadwaj et al., 2013; Verhoef et al., 2021; Hanelt et al., 2021; Brouthers et al., 2016). Mặc dù hai khái niệm này có liên quan, không nên xem chúng có thể hoán đổi cho nhau. Việc gộp chúng vào một biến tổng có thể làm giảm tính rõ ràng của khái niệm và làm mờ các cơ chế gắn số hoá với hiệu quả.</w:t>
      </w:r>
    </w:p>
    <w:p>
      <w:pPr>
        <w:pStyle w:val="BodyText"/>
      </w:pPr>
      <w:r>
        <w:t xml:space="preserve">Thứ ba, ước lượng gộp có thể che giấu sự không đồng nhất theo vòng đời đáng kể. Trong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hữu ích để xác định các tác động trung bình, nhưng không đủ nếu các mối quan hệ nền dịch chuyển theo thời gian. Do đó, một thiết kế kết hợp phân tích gộp và phân tích theo từng đợt là cần thiết để xác định liệu các tác động quan sát được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ba đóng góp vào tài liệu.</w:t>
      </w:r>
    </w:p>
    <w:p>
      <w:pPr>
        <w:pStyle w:val="BodyText"/>
      </w:pPr>
      <w:r>
        <w:t xml:space="preserve">Thứ nhất, nó tinh chỉnh cuộc tranh luận I–P bằng cách cho thấy bằng chứng từ Việt Nam ủng hộ mối quan hệ phi tuyến, nhưng tính nổi bật và khả năng quan sát của mối quan hệ đó biến đổi theo thời gian. Thay vì xem tính phi tuyến như một sự kiện cấu trúc cố định xuất hiện giống nhau trong mọi giai đoạn, phân tích cho thấy đường cong I–P phải được đọc cùng với môi trường năng lực rộng hơn.</w:t>
      </w:r>
    </w:p>
    <w:p>
      <w:pPr>
        <w:pStyle w:val="BodyText"/>
      </w:pPr>
      <w:r>
        <w:t xml:space="preserve">Thứ hai, nghiên cứu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Nó cũng quan trọng về mặt thực nghiệm vì hai khái niệm không thể hiện các mẫu hình giống nhau qua các đợt khảo sát ở Việt Nam.</w:t>
      </w:r>
    </w:p>
    <w:p>
      <w:pPr>
        <w:pStyle w:val="BodyText"/>
      </w:pPr>
      <w:r>
        <w:t xml:space="preserve">Thứ ba, nghiên cứu giới thiệu một cách diễn giải vòng đời về quốc tế hoá số. Bằng chứng gợi ý rằng năng lực số không phải là một khoản phụ trội ổn định phổ quát cũng không phải là một nguồn lực không hiệu quả đồng nhất. Thay vào đó, đó là một nguồn không đồng đều và phụ thuộc giai đoạn của tính không đồng nhất hiệu quả. Quan điểm này giúp giải thích vì sao các tác động trung bình gộp có thể cùng tồn tại với những khác biệt đáng kể theo từng đợt.</w:t>
      </w:r>
    </w:p>
    <w:p>
      <w:pPr>
        <w:pStyle w:val="BodyText"/>
      </w:pPr>
      <w:r>
        <w:t xml:space="preserve">Đóng góp thứ tư mang tính bối cảnh: mẫu hình thực nghiệm của Việt Nam cung cấp một phân rã tham gia-cường độ cho thấy rằng chữ U ngược được nhận diện vững chắc (điểm ngoặt 39–46 % FSTS) được dẫn dắt chủ yếu bởi biên tham gia: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và hiệu quả hoạt động kinh doanh của doanh nghiệp khó có thể là tuyến tính trong một nền kinh tế chuyển đổi như Việt Nam. Mở rộng ra nước ngoài có thể cải thiện hiệu quả thông qua phạm vi thị trường lớn hơn, đa dạng hoá và học hỏi từ các môi trường bên ngoài. Doanh nghiệp có thể sử dụng quốc tế hoá để phân bổ chi phí cố định, tiếp cận khách hàng mới và thu nhận kiến thức hỗ trợ cải tiến vận hành.</w:t>
      </w:r>
    </w:p>
    <w:p>
      <w:pPr>
        <w:pStyle w:val="BodyText"/>
      </w:pPr>
      <w:r>
        <w:t xml:space="preserve">Đồng thời, mức độ tham gia quốc tế sâu hơn thường tạo ra chi phí phối hợp và gánh nặng tổ chức. Doanh nghiệp phải quản lý nhiều thị trường, dung hoà các yêu cầu khách hàng đa dạng, xử lý thông tin nhiều hơn và duy trì kiểm soát quản trị lớn hơn. Khi mở rộng nước ngoài tăng cường, các chi phí này có thể tăng nhanh hơn lợi ích, tạo ra lợi suất giảm dần hoặc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đặc biệt khả tín ở Việt Nam vì doanh nghiệp hoạt động dưới điều kiện năng lực không đồng đều. Một số doanh nghiệp có thể chuyển hoá mở rộng nước ngoài thành lợi thế học hỏi và quy mô, trong khi những doanh nghiệp khác có thể gặp sức ép tổ chức sớm hơn. Kỳ vọng phù hợp do đó không phải là một độ dốc dương đồng nhất, mà là một mối quan hệ phi tuyến trong đó lợi ích từ quốc tế hoá trở nên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Hàm ý trung tâm của các phát hiện là áp dụng công nghệ số nền tảng ở Việt Nam không nên được diễn giải như một khoản phụ trội năng suất phổ quát và ổn định theo thời gian. Mặc dù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vai trò thực nghiệm của chúng khác biệt đáng kể giữa các đợt và giữa các chiến lược nhận diện (Vahlne, 2020; Stallkamp and Schotter, 2021). Điều này có nghĩa là áp dụng công nghệ số dựa trên website không đơn giản là một lợi thế nền không đổi; nó là một nguồn nhạy cảm với bối cảnh và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diễn giải này giúp dung hoà sự cùng tồn tại của các tác động gộp dương và các kết quả theo từng đợt không đồng đều. Mô hình gộp ghi nhận xu hướng trung bình rằng năng lực mạnh hơn có liên hệ với hiệu quả tốt hơn. Các mô hình theo từng đợt cho thấy xu hướng này không đồng đều mạnh trong mọi giai đoạn. Giá trị của năng lực số do đó phụ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tách năng lực công nghệ nước ngoài / tiêu chuẩn khỏi áp dụng công nghệ số nền tảng. Bằng chứng PSM và IV trong mục 4.5 (Panel J và K) làm rõ hơn sự phân biệt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cư xử như một năng lực công nghệ nước ngoài / tiêu chuẩn vững chắc với mối liên hệ năng suất sống sót qua cả PSM và 2SLS.</w:t>
      </w:r>
      <w:r>
        <w:t xml:space="preserve"> </w:t>
      </w:r>
      <m:oMath>
        <m:acc>
          <m:accPr>
            <m:chr m:val="̃"/>
          </m:accPr>
          <m:e>
            <m:r>
              <m:rPr>
                <m:sty m:val="p"/>
              </m:rPr>
              <m:t>D</m:t>
            </m:r>
            <m:r>
              <m:rPr>
                <m:sty m:val="p"/>
              </m:rPr>
              <m:t>A</m:t>
            </m:r>
            <m:r>
              <m:rPr>
                <m:sty m:val="p"/>
              </m:rPr>
              <m:t>I</m:t>
            </m:r>
          </m:e>
        </m:acc>
      </m:oMath>
      <w:r>
        <w:t xml:space="preserve"> </w:t>
      </w:r>
      <w:r>
        <w:t xml:space="preserve">cư xử như một dấu hiệu nhạy cảm với bối cảnh với mối liên hệ năng suất được ghi nhận dưới so sánh đối sánh nhưng không dưới biến thiên công cụ ngoại sinh. Điều này ủng hộ một cách tiếp cận cẩn trọng hơn đối với số hoá trong nghiên cứu kinh doanh quốc tế, một cách tiếp cận phân biệt giữa kích hoạt số cơ bản (dễ bị nhiễm bởi chọn lựa trên các biến quan sát được) và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Chúng tôi đóng khung cách đọc chính sách như những cân nhắc tạm thời chứ không phải các quy định chỉ thị. Tính chất liên hệ của bằng chứng, độ rộng của tính không đồng nhất theo từng đợt, và phạm vi một nền kinh tế đơn lẻ đều cân nhắc chống lại việc chuyển các phát hiện thành mục tiêu chính sách doanh nghiệp cụ thể. Với những lưu ý đó được giữ rõ ràng, ba cân nhắc tiếp theo cho thiết kế chính sách thương mại và kinh tế số của Việt Nam.</w:t>
      </w:r>
    </w:p>
    <w:p>
      <w:pPr>
        <w:pStyle w:val="BodyText"/>
      </w:pPr>
      <w:r>
        <w:t xml:space="preserve">Thứ nhất, các công cụ thúc đẩy xuất khẩu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Thứ hai,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Thứ ba,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trong bối cảnh năm hạn chế. Thứ nhất và cơ bản nhất, dữ liệu vi mô WBES là cắt ngang lặp lại chứ không phải một bảng dữ liệu doanh nghiệp thực sự. Thay đổi nội tại doanh nghiệp theo thời gian không thể được nhận diện, và tính không đồng nhất không quan sát được bất biến theo thời gian không thể được loại trừ ở cấp doanh nghiệp. Ngôn ngữ liên hệ được sử dụng xuyên suốt bài báo phản ánh ràng buộc này và không nên được nới lỏng trong bất kỳ diễn giải nào của người đọc về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w:t>
      </w:r>
    </w:p>
    <w:p>
      <w:pPr>
        <w:pStyle w:val="BodyText"/>
      </w:pPr>
      <w:r>
        <w:t xml:space="preserve">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bằng cách phân biệt năng lực công nghệ nước ngoài / tiêu chuẩn khỏi áp dụng công nghệ số nền tảng và bằng cách so sánh bằng chứng gộp với bằng chứng theo từng đợt.</w:t>
      </w:r>
    </w:p>
    <w:p>
      <w:pPr>
        <w:pStyle w:val="BodyText"/>
      </w:pPr>
      <w:r>
        <w:t xml:space="preserve">Các phát hiện cho thấy mối quan hệ quốc tế hoá–hiệu quả là không đơn điệu trong toàn mẫu, nhưng mẫu hình này được chi phối chủ yếu bởi cấu trúc tham gia-và-cường độ chứ không phải bởi độ cong mạnh trong nhóm doanh nghiệp xuất khẩu đơn lẻ.</w:t>
      </w:r>
    </w:p>
    <w:p>
      <w:pPr>
        <w:pStyle w:val="BodyText"/>
      </w:pPr>
      <w:r>
        <w:t xml:space="preserve">Các kết quả cũng cho thấy hai miền năng lực không nên được xem là có thể hoán đổi. Năng lực công nghệ tương đối ổn định và vững về nhận diện qua các đặc tả, trong khi áp dụng công nghệ số nền tảng nhạy cảm theo đợt hơn và chỉ thể hiện điều tiết có thể phát hiện trong mẫu vào năm 2023. Hàm ý rộng hơn là tính liên quan đến năng suất của áp dụng công nghệ số cơ bản trong một nền kinh tế chuyển đổi là thực sự nhưng không đồng đều, và các mức trung bình gộp có thể che giấu tính không đồng nhất theo thời gian quan trọng về việc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2026-05-21T03:31:44Z</dcterms:created>
  <dcterms:modified xsi:type="dcterms:W3CDTF">2026-05-21T03:31:44Z</dcterms:modified>
</cp:coreProperties>
</file>

<file path=docProps/custom.xml><?xml version="1.0" encoding="utf-8"?>
<Properties xmlns="http://schemas.openxmlformats.org/officeDocument/2006/custom-properties" xmlns:vt="http://schemas.openxmlformats.org/officeDocument/2006/docPropsVTypes"/>
</file>