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b55848302907e172f340b7b172eed68a770a58"/>
    <w:p>
      <w:pPr>
        <w:pStyle w:val="Heading1"/>
      </w:pPr>
      <w:r>
        <w:t xml:space="preserve">Cover Letter — Thunderbird International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"Revisiting the Internationalisation–Performance Relationship in an Emerging Market: The Roles of Technological Capability and Foundational Digital Adoption,"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Thunderbird International Business Review</w:t>
      </w:r>
      <w:r>
        <w:t xml:space="preserve">.</w:t>
      </w:r>
    </w:p>
    <w:p>
      <w:pPr>
        <w:pStyle w:val="BodyText"/>
      </w:pPr>
      <w:r>
        <w:t xml:space="preserve">We revisit the internationalization–performance (I–P) relationship in Vietnam, an emerging market, showing how technological capability and foundational digital adoption shape it, using firm-level World Bank Enterprise Survey data across three waves.</w:t>
      </w:r>
    </w:p>
    <w:p>
      <w:pPr>
        <w:pStyle w:val="BodyText"/>
      </w:pPr>
      <w:r>
        <w:t xml:space="preserve">This study suits Thunderbird IBR's bridge between rigorous IB scholarship and the concerns of managers and policymakers.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2026-06-08T01:17:39Z</dcterms:created>
  <dcterms:modified xsi:type="dcterms:W3CDTF">2026-06-08T01:17:39Z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