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89ec782ab4d64927fe4b1ecb8bb4459c42f3f"/>
    <w:p>
      <w:pPr>
        <w:pStyle w:val="Heading1"/>
      </w:pPr>
      <w:r>
        <w:t xml:space="preserve">Cover Letter — Asia Pacific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"The Export Intensity–Performance Relationship in Chinese Private Firms: A Threshold-Stability Perspective,"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Asia Pacific Business Review</w:t>
      </w:r>
      <w:r>
        <w:t xml:space="preserve">.</w:t>
      </w:r>
    </w:p>
    <w:p>
      <w:pPr>
        <w:pStyle w:val="BodyText"/>
      </w:pPr>
      <w:r>
        <w:t xml:space="preserve">We test the temporal stability of the export-intensity–performance threshold among Chinese private firms across the 2012 and 2024 WBES waves.</w:t>
      </w:r>
    </w:p>
    <w:p>
      <w:pPr>
        <w:pStyle w:val="BodyText"/>
      </w:pPr>
      <w:r>
        <w:t xml:space="preserve">This study aligns with Asia Pacific Business Review's coverage of firm strategy and performance in Asia-Pacific economies.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2026-06-08T01:17:40Z</dcterms:created>
  <dcterms:modified xsi:type="dcterms:W3CDTF">2026-06-08T01:17:40Z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