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aa31778445ed5cd34e33a73c3d7522849be1ea"/>
    <w:p>
      <w:pPr>
        <w:pStyle w:val="Heading1"/>
      </w:pPr>
      <w:r>
        <w:t xml:space="preserve">Cover Letter — Asia Pacific Journal of Management</w:t>
      </w:r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We are pleased to submit our manuscript,</w:t>
      </w:r>
      <w:r>
        <w:t xml:space="preserve"> </w:t>
      </w:r>
      <w:r>
        <w:rPr>
          <w:bCs/>
          <w:b/>
        </w:rPr>
        <w:t xml:space="preserve">"Internationalization and Firm Performance across 49 Asian and Pacific Economies: Institutional Regimes, Digital Capabilities, and Managerial Characteristics as Contingency Factors,"</w:t>
      </w:r>
      <w:r>
        <w:t xml:space="preserve"> </w:t>
      </w:r>
      <w:r>
        <w:t xml:space="preserve">for consideration in</w:t>
      </w:r>
      <w:r>
        <w:t xml:space="preserve"> </w:t>
      </w:r>
      <w:r>
        <w:rPr>
          <w:iCs/>
          <w:i/>
        </w:rPr>
        <w:t xml:space="preserve">Asia Pacific Journal of Management (APJM)</w:t>
      </w:r>
      <w:r>
        <w:t xml:space="preserve">.</w:t>
      </w:r>
    </w:p>
    <w:p>
      <w:pPr>
        <w:pStyle w:val="BodyText"/>
      </w:pPr>
      <w:r>
        <w:t xml:space="preserve">We analyse internationalization and firm performance across 49 Asian and Pacific economies, testing institutional regimes, digital capabilities, and managerial characteristics as contingency factors, with TFP robustness.</w:t>
      </w:r>
    </w:p>
    <w:p>
      <w:pPr>
        <w:pStyle w:val="BodyText"/>
      </w:pPr>
      <w:r>
        <w:t xml:space="preserve">This study fits the Asia Pacific Journal of Management's focus on management and organizations in the Asia-Pacific context. We believe it offers a clear contribution and a good fit for your readership.</w:t>
      </w:r>
    </w:p>
    <w:p>
      <w:pPr>
        <w:pStyle w:val="BodyText"/>
      </w:pPr>
      <w:r>
        <w:t xml:space="preserve">The manuscript is original, has not been published, and is not under consideration elsewhere. All authors approved the submission and declare no conflicts of interest. We confirm the use of a writing-assistance tool (Grammarly) for language only; no generative AI produced substantive content.</w:t>
      </w:r>
    </w:p>
    <w:p>
      <w:pPr>
        <w:pStyle w:val="BodyText"/>
      </w:pPr>
      <w:r>
        <w:t xml:space="preserve">Thank you for your consideration.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Phan Anh Tú (corresponding author), College of Economics, Can Tho University, Vietnam ·</w:t>
      </w:r>
      <w:r>
        <w:t xml:space="preserve"> </w:t>
      </w:r>
      <w:hyperlink r:id="rId20">
        <w:r>
          <w:rPr>
            <w:rStyle w:val="Hyperlink"/>
          </w:rPr>
          <w:t xml:space="preserve">patu@ctu.edu.vn</w:t>
        </w:r>
      </w:hyperlink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2026-06-08T01:17:41Z</dcterms:created>
  <dcterms:modified xsi:type="dcterms:W3CDTF">2026-06-08T01:17:41Z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