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a891a3a5c35d41efe8d5720687ef3a172f55b5"/>
    <w:p>
      <w:pPr>
        <w:pStyle w:val="Heading1"/>
      </w:pPr>
      <w:r>
        <w:t xml:space="preserve">Cover Letter — International Business Review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"Internationalization and Firm Performance across 49 Asian and Pacific Economies: Institutional Regimes, Digital Capabilities, and Managerial Characteristics as Contingency Factors,"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International Business Review (IBR)</w:t>
      </w:r>
      <w:r>
        <w:t xml:space="preserve">.</w:t>
      </w:r>
    </w:p>
    <w:p>
      <w:pPr>
        <w:pStyle w:val="BodyText"/>
      </w:pPr>
      <w:r>
        <w:t xml:space="preserve">We analyse internationalization and firm performance across 49 Asian and Pacific economies, testing institutional regimes, digital capabilities, and managerial characteristics as contingency factors, with TFP robustness.</w:t>
      </w:r>
    </w:p>
    <w:p>
      <w:pPr>
        <w:pStyle w:val="BodyText"/>
      </w:pPr>
      <w:r>
        <w:t xml:space="preserve">This study aligns with International Business Review's coverage of multi-country, institution-sensitive international-business research.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2026-06-08T01:17:41Z</dcterms:created>
  <dcterms:modified xsi:type="dcterms:W3CDTF">2026-06-08T01:17:41Z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