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mục WBES d3c (tỷ lệ phần trăm doanh thu xuất khẩu),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panel cho các tác động nhân quả. Ước lượng FIP chủ yếu được nhận dạng từ biến thiên mặt cắt ngang của FSTS trong các ô quốc gia-năm. Công việc tương lai sử dụng dữ liệu panel, nơi có sẵn cho Fiji và Papua New Guinea (hai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Các phân tích chi tiết ở cấp quốc gia có sẵn trong kho lưu trữ tái lập (</w:t>
      </w:r>
      <w:r>
        <w:rPr>
          <w:rStyle w:val="VerbatimChar"/>
        </w:rPr>
        <w:t xml:space="preserve">p8/replication/</w:t>
      </w:r>
      <w:r>
        <w:rPr>
          <w:iCs/>
          <w:i/>
        </w:rPr>
        <w:t xml:space="preserve">). Tổng N phản ánh mẫu phân tích (ln_LP và FSTS không khuyết). Phạm vi đợt khảo sát biến thiên theo quốc gia.</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2026-06-09T06:22:53Z</dcterms:created>
  <dcterms:modified xsi:type="dcterms:W3CDTF">2026-06-09T06:22:53Z</dcterms:modified>
</cp:coreProperties>
</file>

<file path=docProps/custom.xml><?xml version="1.0" encoding="utf-8"?>
<Properties xmlns="http://schemas.openxmlformats.org/officeDocument/2006/custom-properties" xmlns:vt="http://schemas.openxmlformats.org/officeDocument/2006/docPropsVTypes"/>
</file>