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Override PartName="/word/media/rId42.png" ContentType="image/png"/>
  <Override PartName="/word/media/rId29.png" ContentType="image/png"/>
  <Override PartName="/word/media/rId33.png" ContentType="image/png"/>
  <Override PartName="/word/media/rId105.png" ContentType="image/png"/>
  <Override PartName="/word/media/rId45.png" ContentType="image/png"/>
  <Override PartName="/word/media/rId93.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51" w:name="Xed285cd0261846a13dee28de69c0403b250498d"/>
    <w:p>
      <w:pPr>
        <w:pStyle w:val="Heading2"/>
      </w:pPr>
      <w:r>
        <w:t xml:space="preserve">4.1 Thực trạng quốc tế hóa và hiệu quả hoạt động kinh doanh tại châu Á</w:t>
      </w:r>
    </w:p>
    <w:bookmarkStart w:id="28"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(mẫu gộp WBES 2006–2026;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được phân loại vào sáu nhóm ICRV trong mẫu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23" name="Picture"/>
            <a:graphic>
              <a:graphicData uri="http://schemas.openxmlformats.org/drawingml/2006/picture">
                <pic:pic>
                  <pic:nvPicPr>
                    <pic:cNvPr descr="figures/fig_4_1_pool_composition.png" id="24" name="Picture"/>
                    <pic:cNvPicPr>
                      <a:picLocks noChangeArrowheads="1" noChangeAspect="1"/>
                    </pic:cNvPicPr>
                  </pic:nvPicPr>
                  <pic:blipFill>
                    <a:blip r:embed="rId22"/>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26" name="Picture"/>
            <a:graphic>
              <a:graphicData uri="http://schemas.openxmlformats.org/drawingml/2006/picture">
                <pic:pic>
                  <pic:nvPicPr>
                    <pic:cNvPr descr="figures/fig_4_0_pool_by_year.png" id="27" name="Picture"/>
                    <pic:cNvPicPr>
                      <a:picLocks noChangeArrowheads="1" noChangeAspect="1"/>
                    </pic:cNvPicPr>
                  </pic:nvPicPr>
                  <pic:blipFill>
                    <a:blip r:embed="rId25"/>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28"/>
    <w:bookmarkStart w:id="32"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30" name="Picture"/>
            <a:graphic>
              <a:graphicData uri="http://schemas.openxmlformats.org/drawingml/2006/picture">
                <pic:pic>
                  <pic:nvPicPr>
                    <pic:cNvPr descr="figures/fig_4_4_growth_pathway.png" id="31" name="Picture"/>
                    <pic:cNvPicPr>
                      <a:picLocks noChangeArrowheads="1" noChangeAspect="1"/>
                    </pic:cNvPicPr>
                  </pic:nvPicPr>
                  <pic:blipFill>
                    <a:blip r:embed="rId29"/>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32"/>
    <w:bookmarkStart w:id="36"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7/7 nền Nhóm VI, SIDS có</w:t>
      </w:r>
      <w:r>
        <w:t xml:space="preserve"> </w:t>
      </w:r>
      <w:r>
        <w:rPr>
          <w:bCs/>
          <w:b/>
        </w:rPr>
        <w:t xml:space="preserve">tỷ lệ đổi mới sản phẩm rất cao (38,0%)</w:t>
      </w:r>
      <w:r>
        <w:t xml:space="preserve"> </w:t>
      </w:r>
      <w:r>
        <w:t xml:space="preserve">và đổi mới quy trình đáng kể (21,5%), trong khi website (48,8%) cao hơn cả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11,5%, ISO 15,8%) thuộc nhóm thấp nhất, và đây là nhóm duy nhất nơi dạng chữ U ngược tan rã hoàn toàn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34" name="Picture"/>
            <a:graphic>
              <a:graphicData uri="http://schemas.openxmlformats.org/drawingml/2006/picture">
                <pic:pic>
                  <pic:nvPicPr>
                    <pic:cNvPr descr="figures/fig_4_6_firm_size.png" id="35" name="Picture"/>
                    <pic:cNvPicPr>
                      <a:picLocks noChangeArrowheads="1" noChangeAspect="1"/>
                    </pic:cNvPicPr>
                  </pic:nvPicPr>
                  <pic:blipFill>
                    <a:blip r:embed="rId33"/>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36"/>
    <w:bookmarkStart w:id="37"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37"/>
    <w:bookmarkStart w:id="38"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38"/>
    <w:bookmarkStart w:id="48" w:name="Xa7d4e14564d57b0a9bb7f3939becc5ff181d680"/>
    <w:p>
      <w:pPr>
        <w:pStyle w:val="Heading3"/>
      </w:pPr>
      <w:r>
        <w:t xml:space="preserve">4.1.6 So sánh xuyên nhóm ICRV: gradient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gradient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Gradient năng lực công nghệ theo sáu nhóm ICRV" title="" id="40" name="Picture"/>
            <a:graphic>
              <a:graphicData uri="http://schemas.openxmlformats.org/drawingml/2006/picture">
                <pic:pic>
                  <pic:nvPicPr>
                    <pic:cNvPr descr="figures/fig_icrv_capability_gradient.png" id="41" name="Picture"/>
                    <pic:cNvPicPr>
                      <a:picLocks noChangeArrowheads="1" noChangeAspect="1"/>
                    </pic:cNvPicPr>
                  </pic:nvPicPr>
                  <pic:blipFill>
                    <a:blip r:embed="rId39"/>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Gradient năng lực công nghệ theo sáu nhóm ICRV</w:t>
      </w:r>
    </w:p>
    <w:p>
      <w:pPr>
        <w:pStyle w:val="BodyText"/>
      </w:pPr>
      <w:r>
        <w:t xml:space="preserve">Ngược với gradient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43" name="Picture"/>
            <a:graphic>
              <a:graphicData uri="http://schemas.openxmlformats.org/drawingml/2006/picture">
                <pic:pic>
                  <pic:nvPicPr>
                    <pic:cNvPr descr="figures/fig_4_2_productivity_density.png" id="44" name="Picture"/>
                    <pic:cNvPicPr>
                      <a:picLocks noChangeArrowheads="1" noChangeAspect="1"/>
                    </pic:cNvPicPr>
                  </pic:nvPicPr>
                  <pic:blipFill>
                    <a:blip r:embed="rId42"/>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gradient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46" name="Picture"/>
            <a:graphic>
              <a:graphicData uri="http://schemas.openxmlformats.org/drawingml/2006/picture">
                <pic:pic>
                  <pic:nvPicPr>
                    <pic:cNvPr descr="figures/fig_4_7_spider_chart.png" id="47" name="Picture"/>
                    <pic:cNvPicPr>
                      <a:picLocks noChangeArrowheads="1" noChangeAspect="1"/>
                    </pic:cNvPicPr>
                  </pic:nvPicPr>
                  <pic:blipFill>
                    <a:blip r:embed="rId45"/>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48"/>
    <w:bookmarkStart w:id="49"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49"/>
    <w:bookmarkStart w:id="50" w:name="X290a7f495c2e39016b28fc732b8af6994f1e991"/>
    <w:p>
      <w:pPr>
        <w:pStyle w:val="Heading3"/>
      </w:pPr>
      <w:r>
        <w:t xml:space="preserve">4.1.8 Gradient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gradient mức hợp lệ giữa các nền kinh tế, nhất quán với lý thuyết thể chế theo đó thể chế mạnh kéo theo chi phí giao dịch thấp và biên lợi nhuận cao hơn. Cần lưu ý rằng gradient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gradient thể chế, từ 61,7% ở Nhóm I xuống 41,2% ở Nhóm V, phù hợp với khoảng cách hạ tầng số. Đáng chú ý nhất, tỷ lệ nữ trong quản trị cấp cao không theo gradient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50"/>
    <w:bookmarkEnd w:id="51"/>
    <w:bookmarkStart w:id="60" w:name="X793daa8b2eddd060588462e198e78f93f4f770d"/>
    <w:p>
      <w:pPr>
        <w:pStyle w:val="Heading2"/>
      </w:pPr>
      <w:r>
        <w:t xml:space="preserve">4.2 Kết quả tổng hợp định lượng: phân tích tổng hợp ba tầng (P6)</w:t>
      </w:r>
    </w:p>
    <w:bookmarkStart w:id="52"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52"/>
    <w:bookmarkStart w:id="53"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53"/>
    <w:bookmarkStart w:id="54"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gradient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gradient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54"/>
    <w:bookmarkStart w:id="55"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55"/>
    <w:bookmarkStart w:id="56"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56"/>
    <w:bookmarkStart w:id="57"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57"/>
    <w:bookmarkStart w:id="58"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gradient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gradient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58"/>
    <w:bookmarkStart w:id="59"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59"/>
    <w:bookmarkEnd w:id="60"/>
    <w:bookmarkStart w:id="70" w:name="Xae571c1410747d630a72c4d12985bac375822ae"/>
    <w:p>
      <w:pPr>
        <w:pStyle w:val="Heading2"/>
      </w:pPr>
      <w:r>
        <w:t xml:space="preserve">4.3 Kết quả bối cảnh thể chế tiên tiến: Đổi mới: Singapore (P4)</w:t>
      </w:r>
    </w:p>
    <w:bookmarkStart w:id="61"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61"/>
    <w:bookmarkStart w:id="62"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62"/>
    <w:bookmarkStart w:id="63"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63"/>
    <w:bookmarkStart w:id="64"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64"/>
    <w:bookmarkStart w:id="65"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65"/>
    <w:bookmarkStart w:id="66"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66"/>
    <w:bookmarkStart w:id="67"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67"/>
    <w:bookmarkStart w:id="68"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68"/>
    <w:bookmarkStart w:id="69"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69"/>
    <w:bookmarkEnd w:id="70"/>
    <w:bookmarkStart w:id="79" w:name="Xabe361c2d5961cf19ce7ab2bd5d9bc6d758140a"/>
    <w:p>
      <w:pPr>
        <w:pStyle w:val="Heading2"/>
      </w:pPr>
      <w:r>
        <w:t xml:space="preserve">4.4 Kết quả bối cảnh thể chế trung bình cao: Trung Quốc, 2012–2024 (P5)</w:t>
      </w:r>
    </w:p>
    <w:bookmarkStart w:id="71"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71"/>
    <w:bookmarkStart w:id="72"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72"/>
    <w:bookmarkStart w:id="73"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73"/>
    <w:bookmarkStart w:id="74"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74"/>
    <w:bookmarkStart w:id="75"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75"/>
    <w:bookmarkStart w:id="76"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76"/>
    <w:bookmarkStart w:id="77"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77"/>
    <w:bookmarkStart w:id="78"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78"/>
    <w:bookmarkEnd w:id="79"/>
    <w:bookmarkStart w:id="91" w:name="Xdbd5cc67084304ba85b73781c0cb0c00b74055b"/>
    <w:p>
      <w:pPr>
        <w:pStyle w:val="Heading2"/>
      </w:pPr>
      <w:r>
        <w:t xml:space="preserve">4.5 Kết quả bối cảnh chuyển đổi bậc thấp–trung: Việt Nam (P3)</w:t>
      </w:r>
    </w:p>
    <w:bookmarkStart w:id="8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80"/>
    <w:bookmarkStart w:id="81"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81"/>
    <w:bookmarkStart w:id="82"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82"/>
    <w:bookmarkStart w:id="83"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83"/>
    <w:bookmarkStart w:id="84"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84"/>
    <w:bookmarkStart w:id="85"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85"/>
    <w:bookmarkStart w:id="86"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86"/>
    <w:bookmarkStart w:id="87"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87"/>
    <w:bookmarkStart w:id="88"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88"/>
    <w:bookmarkStart w:id="89"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89"/>
    <w:bookmarkStart w:id="90"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90"/>
    <w:bookmarkEnd w:id="91"/>
    <w:bookmarkStart w:id="103" w:name="X561afa853383c674354c1acb167a55cae3a018f"/>
    <w:p>
      <w:pPr>
        <w:pStyle w:val="Heading2"/>
      </w:pPr>
      <w:r>
        <w:t xml:space="preserve">4.6 Kết quả kiểm định toàn mẫu đa bối cảnh châu Á (P7)</w:t>
      </w:r>
    </w:p>
    <w:bookmarkStart w:id="92"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92"/>
    <w:bookmarkStart w:id="96"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94" name="Picture"/>
            <a:graphic>
              <a:graphicData uri="http://schemas.openxmlformats.org/drawingml/2006/picture">
                <pic:pic>
                  <pic:nvPicPr>
                    <pic:cNvPr descr="figures/fig_4_x_ip_curves_icrv_gradient.png" id="95" name="Picture"/>
                    <pic:cNvPicPr>
                      <a:picLocks noChangeArrowheads="1" noChangeAspect="1"/>
                    </pic:cNvPicPr>
                  </pic:nvPicPr>
                  <pic:blipFill>
                    <a:blip r:embed="rId93"/>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96"/>
    <w:bookmarkStart w:id="9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97"/>
    <w:bookmarkStart w:id="98"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98"/>
    <w:bookmarkStart w:id="99"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gradient trơn. Nói cách khác, điều tiết thể chế là điều tiết về sự tồn tại của dạng hàm, không phải điều tiết về vị trí của một điểm uốn phổ quát.</w:t>
      </w:r>
    </w:p>
    <w:bookmarkEnd w:id="99"/>
    <w:bookmarkStart w:id="100"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gradient trơn mà như ba vùng rời rạc. Ở giữa gradient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tan rã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100"/>
    <w:bookmarkStart w:id="101"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gradient,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101"/>
    <w:bookmarkStart w:id="102"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gradient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102"/>
    <w:bookmarkEnd w:id="103"/>
    <w:bookmarkStart w:id="115" w:name="X42f69945b56833cca239d45dc5864a7be6f74d7"/>
    <w:p>
      <w:pPr>
        <w:pStyle w:val="Heading2"/>
      </w:pPr>
      <w:r>
        <w:t xml:space="preserve">4.7 Kết quả trường hợp biên SIDS: Các nền kinh tế đảo nhỏ đang phát triển (P8)</w:t>
      </w:r>
    </w:p>
    <w:bookmarkStart w:id="104"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104"/>
    <w:bookmarkStart w:id="108"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sự tan rã của dạng chữ U ngược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Sự tan rã của chữ U ngượ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106" name="Picture"/>
            <a:graphic>
              <a:graphicData uri="http://schemas.openxmlformats.org/drawingml/2006/picture">
                <pic:pic>
                  <pic:nvPicPr>
                    <pic:cNvPr descr="figures/fig_4_7_1_sids_inversion.png" id="107" name="Picture"/>
                    <pic:cNvPicPr>
                      <a:picLocks noChangeArrowheads="1" noChangeAspect="1"/>
                    </pic:cNvPicPr>
                  </pic:nvPicPr>
                  <pic:blipFill>
                    <a:blip r:embed="rId105"/>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Sự tan rã của chữ U ngược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sự tan rã của chữ U ngược</w:t>
      </w:r>
      <w:r>
        <w:t xml:space="preserve">; độ cong dương có điều kiện chỉ là một dấu hiệu gợi ý ở mức biên ý nghĩa.</w:t>
      </w:r>
    </w:p>
    <w:bookmarkEnd w:id="108"/>
    <w:bookmarkStart w:id="109"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109"/>
    <w:bookmarkStart w:id="110"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110"/>
    <w:bookmarkStart w:id="111"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111"/>
    <w:bookmarkStart w:id="112"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112"/>
    <w:bookmarkStart w:id="113"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113"/>
    <w:bookmarkStart w:id="114"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114"/>
    <w:bookmarkEnd w:id="115"/>
    <w:bookmarkStart w:id="124"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tan rã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116"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116"/>
    <w:bookmarkStart w:id="117"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117"/>
    <w:bookmarkStart w:id="118"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118"/>
    <w:bookmarkStart w:id="119"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119"/>
    <w:bookmarkStart w:id="120"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120"/>
    <w:bookmarkStart w:id="121"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tan rã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121"/>
    <w:bookmarkStart w:id="122"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tan rã.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122"/>
    <w:bookmarkStart w:id="123"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123"/>
    <w:bookmarkEnd w:id="124"/>
    <w:bookmarkStart w:id="128"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125"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gradient thể chế: chữ U ngược ở các chế độ chuyển đổi, gần tuyến tính ở biên trên, tan rã ở biên dưới.</w:t>
      </w:r>
    </w:p>
    <w:bookmarkEnd w:id="125"/>
    <w:bookmarkStart w:id="126"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126"/>
    <w:bookmarkStart w:id="127"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127"/>
    <w:bookmarkEnd w:id="128"/>
    <w:bookmarkStart w:id="129"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29"/>
    <w:bookmarkStart w:id="130"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tan rã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sự tan rã của chữ U ngược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tan rã tại SIDS; FIP là trường hợp giới hạn</w:t>
            </w:r>
          </w:p>
        </w:tc>
        <w:tc>
          <w:tcPr/>
          <w:p>
            <w:pPr>
              <w:pStyle w:val="Compact"/>
              <w:jc w:val="left"/>
            </w:pPr>
            <w:r>
              <w:t xml:space="preserve">Ủng hộ theo hướng tan rã: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130"/>
    <w:bookmarkStart w:id="131"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13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105" Target="media/rId105.png" /><Relationship Type="http://schemas.openxmlformats.org/officeDocument/2006/relationships/image" Id="rId45" Target="media/rId45.png" /><Relationship Type="http://schemas.openxmlformats.org/officeDocument/2006/relationships/image" Id="rId93" Target="media/rId93.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2026-06-19T13:59:47Z</dcterms:created>
  <dcterms:modified xsi:type="dcterms:W3CDTF">2026-06-19T13:59:47Z</dcterms:modified>
</cp:coreProperties>
</file>

<file path=docProps/custom.xml><?xml version="1.0" encoding="utf-8"?>
<Properties xmlns="http://schemas.openxmlformats.org/officeDocument/2006/custom-properties" xmlns:vt="http://schemas.openxmlformats.org/officeDocument/2006/docPropsVTypes"/>
</file>