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1,450 firms across seven Pacific small island developing states (SIDS)—Fiji, Kiribati, Papua New Guinea, Samoa, Solomon Islands, Tonga, and Vanuatu (2009–2025). The robust finding is that the canonical inverted-U</w:t>
      </w:r>
      <w:r>
        <w:t xml:space="preserve"> </w:t>
      </w:r>
      <w:r>
        <w:rPr>
          <w:bCs/>
          <w:b/>
        </w:rPr>
        <w:t xml:space="preserve">dissolves</w:t>
      </w:r>
      <w:r>
        <w:t xml:space="preserve">: across the full sample, the export-intensity slope is statistically indistinguishable from zero (wild-cluster bootstrap p = .66) and the curvature term is only marginally significant and</w:t>
      </w:r>
      <w:r>
        <w:t xml:space="preserve"> </w:t>
      </w:r>
      <w:r>
        <w:rPr>
          <w:iCs/>
          <w:i/>
        </w:rPr>
        <w:t xml:space="preserve">positive</w:t>
      </w:r>
      <w:r>
        <w:t xml:space="preserve"> </w:t>
      </w:r>
      <w:r>
        <w:t xml:space="preserve">rather than concave (p = .082), in sharp contrast to the sharp inverted-U observed in mainland transition economies. A weaker, suggestive pattern is that once firm capability is held constant the curvature becomes more strongly positive and marginally significant (wild-cluster bootstrap p = .056),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.036)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1,450 firms across seven Pacific SIDS,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the seven Pacific small island developing states with available firm microdata—Fiji, Kiribati, Papua New Guinea, Samoa, Solomon Islands, Tonga, and Vanuatu—across all available waves from 2009 to 2025. These are Pacific Island Countries under the World Bank’s regional classification and members of the United Nations’ Pacific SIDS list. We deliberately exclude Timor-Leste, which—although occasionally grouped with the region—is neither a World Bank Pacific Island Country nor a United Nations Pacific SIDS, and is classed as a separate East Asia and Pacific economy; including it would conflate a structurally distinct, comparatively large economy (it would contribute nearly a quarter of the pooled observations) with the genuine island periphery. After requiring non-missing labor productivity and export intensity, the analytic sample comprises</w:t>
      </w:r>
      <w:r>
        <w:t xml:space="preserve"> </w:t>
      </w:r>
      <w:r>
        <w:rPr>
          <w:bCs/>
          <w:b/>
        </w:rPr>
        <w:t xml:space="preserve">1,450 firms across seven economies and thirteen country-year cells</w:t>
      </w:r>
      <w:r>
        <w:t xml:space="preserve">. Consistent with the structural argument, the export profile is exceptionally thin: only</w:t>
      </w:r>
      <w:r>
        <w:t xml:space="preserve"> </w:t>
      </w:r>
      <w:r>
        <w:rPr>
          <w:bCs/>
          <w:b/>
        </w:rPr>
        <w:t xml:space="preserve">14.6%</w:t>
      </w:r>
      <w:r>
        <w:t xml:space="preserve"> </w:t>
      </w:r>
      <w:r>
        <w:t xml:space="preserve">of firms export, mean FSTS is</w:t>
      </w:r>
      <w:r>
        <w:t xml:space="preserve"> </w:t>
      </w:r>
      <w:r>
        <w:rPr>
          <w:bCs/>
          <w:b/>
        </w:rPr>
        <w:t xml:space="preserve">0.054</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winsorized 1/99 and standardized (z-scored) within each economy-year cell so that estimates are currency-neutral and on the same footing as the companion 50-economy study. Internationalization intensity (FSTS) is total exports as a share of sales, (d3b + d3c)/100, centered within sample. Technological capability (TCI) is a standardized index of quality certification and foreign-technology licensing; digital adoption (DAI) is the website-presence indicator—the Tier-1 measure comparably available across SIDS waves. Firm age (log years since establishment) and foreign ownership (a 10%-threshold indicator) are controls.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seven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−0.085, wild-bootstrap p = .66). Adding the quadratic term does not recover an inverted-U: the curvature coefficient is</w:t>
      </w:r>
      <w:r>
        <w:t xml:space="preserve"> </w:t>
      </w:r>
      <w:r>
        <w:rPr>
          <w:bCs/>
          <w:b/>
        </w:rPr>
        <w:t xml:space="preserve">positive</w:t>
      </w:r>
      <w:r>
        <w:t xml:space="preserve"> </w:t>
      </w:r>
      <w:r>
        <w:t xml:space="preserve">and only marginally significant (M2: β₂ = +0.696, wild-bootstrap p = .082; β₁ = −0.567, p = .088).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standardized labor productivity, Pacific SIDS (economy + year FE; firm-age and foreign-ownership controls; wild-cluster bootstrap p, G = 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−0.085 (.66)</w:t>
            </w:r>
          </w:p>
        </w:tc>
        <w:tc>
          <w:tcPr/>
          <w:p>
            <w:pPr>
              <w:pStyle w:val="Compact"/>
              <w:jc w:val="right"/>
            </w:pPr>
            <w:r>
              <w:t xml:space="preserve">−0.567 (.088)</w:t>
            </w:r>
          </w:p>
        </w:tc>
        <w:tc>
          <w:tcPr/>
          <w:p>
            <w:pPr>
              <w:pStyle w:val="Compact"/>
              <w:jc w:val="right"/>
            </w:pPr>
            <w:r>
              <w:t xml:space="preserve">−0.852 (.024)</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+0.696 (.082)</w:t>
            </w:r>
          </w:p>
        </w:tc>
        <w:tc>
          <w:tcPr/>
          <w:p>
            <w:pPr>
              <w:pStyle w:val="Compact"/>
              <w:jc w:val="right"/>
            </w:pPr>
            <w:r>
              <w:t xml:space="preserve">+1.051 (.056)</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+0.064 (.036)</w:t>
            </w:r>
          </w:p>
        </w:tc>
      </w:tr>
      <w:tr>
        <w:tc>
          <w:tcPr/>
          <w:p>
            <w:pPr>
              <w:pStyle w:val="Compact"/>
              <w:jc w:val="left"/>
            </w:pPr>
            <w:r>
              <w:t xml:space="preserve">DAI (website)</w:t>
            </w:r>
          </w:p>
        </w:tc>
        <w:tc>
          <w:tcPr/>
          <w:p>
            <w:pPr>
              <w:pStyle w:val="Compact"/>
              <w:jc w:val="right"/>
            </w:pPr>
            <w:r>
              <w:t xml:space="preserve">—</w:t>
            </w:r>
          </w:p>
        </w:tc>
        <w:tc>
          <w:tcPr/>
          <w:p>
            <w:pPr>
              <w:pStyle w:val="Compact"/>
              <w:jc w:val="right"/>
            </w:pPr>
            <w:r>
              <w:t xml:space="preserve">—</w:t>
            </w:r>
          </w:p>
        </w:tc>
        <w:tc>
          <w:tcPr/>
          <w:p>
            <w:pPr>
              <w:pStyle w:val="Compact"/>
              <w:jc w:val="right"/>
            </w:pPr>
            <w:r>
              <w:t xml:space="preserve">+0.157 (.102)</w:t>
            </w:r>
          </w:p>
        </w:tc>
      </w:tr>
      <w:tr>
        <w:tc>
          <w:tcPr/>
          <w:p>
            <w:pPr>
              <w:pStyle w:val="Compact"/>
              <w:jc w:val="left"/>
            </w:pPr>
            <w:r>
              <w:t xml:space="preserve">N</w:t>
            </w:r>
          </w:p>
        </w:tc>
        <w:tc>
          <w:tcPr/>
          <w:p>
            <w:pPr>
              <w:pStyle w:val="Compact"/>
              <w:jc w:val="right"/>
            </w:pPr>
            <w:r>
              <w:t xml:space="preserve">1,434</w:t>
            </w:r>
          </w:p>
        </w:tc>
        <w:tc>
          <w:tcPr/>
          <w:p>
            <w:pPr>
              <w:pStyle w:val="Compact"/>
              <w:jc w:val="right"/>
            </w:pPr>
            <w:r>
              <w:t xml:space="preserve">1,434</w:t>
            </w:r>
          </w:p>
        </w:tc>
        <w:tc>
          <w:tcPr/>
          <w:p>
            <w:pPr>
              <w:pStyle w:val="Compact"/>
              <w:jc w:val="right"/>
            </w:pPr>
            <w:r>
              <w:t xml:space="preserve">1,389</w:t>
            </w:r>
          </w:p>
        </w:tc>
      </w:tr>
    </w:tbl>
    <w:p>
      <w:pPr>
        <w:pStyle w:val="BodyText"/>
      </w:pPr>
      <w:r>
        <w:rPr>
          <w:iCs/>
          <w:i/>
        </w:rPr>
        <w:t xml:space="preserve">Dependent variable: labor productivity z-scored within economy-year. Firm-age and foreign-ownership controls and economy + year fixed effects included in every model. Wild-cluster bootstrap p-values in parentheses (9,999 replications, Rademacher weights, clustered by economy).</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more strongly positive and</w:t>
      </w:r>
      <w:r>
        <w:t xml:space="preserve"> </w:t>
      </w:r>
      <w:r>
        <w:rPr>
          <w:bCs/>
          <w:b/>
        </w:rPr>
        <w:t xml:space="preserve">marginally significant</w:t>
      </w:r>
      <w:r>
        <w:t xml:space="preserve"> </w:t>
      </w:r>
      <w:r>
        <w:t xml:space="preserve">(β₂ = +1.051, wild-bootstrap p = .056), with a negative linear term (β₁ = −0.852, p = .024).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1619"/>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1619"/>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+0.064, wild-bootstrap p = .036); digital adoption is positive but weaker and non-significant (DAI: β = +0.157, p = .102).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seven-economy sample yields the null-to-convex pattern reported above; with only three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seven Pacific island states,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2026-06-19T13:55:43Z</dcterms:created>
  <dcterms:modified xsi:type="dcterms:W3CDTF">2026-06-19T13:55:43Z</dcterms:modified>
</cp:coreProperties>
</file>

<file path=docProps/custom.xml><?xml version="1.0" encoding="utf-8"?>
<Properties xmlns="http://schemas.openxmlformats.org/officeDocument/2006/custom-properties" xmlns:vt="http://schemas.openxmlformats.org/officeDocument/2006/docPropsVTypes"/>
</file>