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title-page"/>
    <w:p>
      <w:pPr>
        <w:pStyle w:val="Heading1"/>
      </w:pPr>
      <w:r>
        <w:t xml:space="preserve">Title Page</w:t>
      </w:r>
    </w:p>
    <w:bookmarkStart w:id="22" w:name="X762b2c72165c8caef3d80510699a0007520dbf8"/>
    <w:p>
      <w:pPr>
        <w:pStyle w:val="Heading2"/>
      </w:pPr>
      <w:r>
        <w:t xml:space="preserve">When the Inverted-U Dissolves: Structural Boundary Conditions of the Internationalization–Performance Relationship in Pacific Microstates</w:t>
      </w:r>
    </w:p>
    <w:p>
      <w:pPr>
        <w:pStyle w:val="FirstParagraph"/>
      </w:pPr>
      <w:r>
        <w:rPr>
          <w:bCs/>
          <w:b/>
        </w:rPr>
        <w:t xml:space="preserve">Author</w:t>
      </w:r>
      <w:r>
        <w:t xml:space="preserve"> </w:t>
      </w:r>
      <w:r>
        <w:t xml:space="preserve">Đỗ Thùy Hương</w:t>
      </w:r>
      <w:r>
        <w:t xml:space="preserve"> </w:t>
      </w:r>
      <w:r>
        <w:t xml:space="preserve">Vĩnh Long University of Technology Education (VLUTE), Vietnam</w:t>
      </w:r>
      <w:r>
        <w:t xml:space="preserve"> </w:t>
      </w:r>
      <w:r>
        <w:t xml:space="preserve">PhD candidate, School of Economics, Can Tho University (CTU), Vietnam</w:t>
      </w:r>
      <w:r>
        <w:t xml:space="preserve"> </w:t>
      </w:r>
      <w:r>
        <w:t xml:space="preserve">Email: huongdt@vlute.edu.vn</w:t>
      </w:r>
    </w:p>
    <w:p>
      <w:pPr>
        <w:pStyle w:val="BodyText"/>
      </w:pPr>
      <w:r>
        <w:rPr>
          <w:bCs/>
          <w:b/>
        </w:rPr>
        <w:t xml:space="preserve">Doctoral advisor</w:t>
      </w:r>
      <w:r>
        <w:t xml:space="preserve"> </w:t>
      </w:r>
      <w:r>
        <w:t xml:space="preserve">Assoc. Prof. Dr. Phan Anh Tú, School of Economics, Can Tho University</w:t>
      </w:r>
    </w:p>
    <w:p>
      <w:pPr>
        <w:pStyle w:val="BodyText"/>
      </w:pPr>
      <w:r>
        <w:rPr>
          <w:bCs/>
          <w:b/>
        </w:rPr>
        <w:t xml:space="preserve">Corresponding author:</w:t>
      </w:r>
      <w:r>
        <w:t xml:space="preserve"> </w:t>
      </w:r>
      <w:r>
        <w:t xml:space="preserve">Đỗ Thùy Hương (huongdt@vlute.edu.vn)</w:t>
      </w:r>
    </w:p>
    <w:p>
      <w:r>
        <w:pict>
          <v:rect style="width:0;height:1.5pt" o:hralign="center" o:hrstd="t" o:hr="t"/>
        </w:pict>
      </w:r>
    </w:p>
    <w:bookmarkStart w:id="20" w:name="abstract"/>
    <w:p>
      <w:pPr>
        <w:pStyle w:val="Heading3"/>
      </w:pPr>
      <w:r>
        <w:t xml:space="preserve">Abstract</w:t>
      </w:r>
    </w:p>
    <w:p>
      <w:pPr>
        <w:pStyle w:val="FirstParagraph"/>
      </w:pPr>
      <w:r>
        <w:t xml:space="preserve">The inverted-U is the dominant functional form for the internationalization–performance (I–P) relationship: performance first rises with foreign-sales intensity, then declines beyond a turning point. This logic rests, implicitly, on three structural prerequisites—a viable domestic market, manageable trade costs, and functional institutional support—that are routinely satisfied in mainstream samples but are simultaneously violated in the world’s most peripheral economies. We test whether the inverted-U extends to such contexts using World Bank Enterprise Survey microdata from 1,450 firms across seven Pacific small island developing states (SIDS)—Fiji, Kiribati, Papua New Guinea, Samoa, Solomon Islands, Tonga, and Vanuatu (2009–2025). The robust finding is that the canonical inverted-U dissolves: across the full sample, the export-intensity slope is statistically indistinguishable from zero (wild-cluster bootstrap p = .66) and the curvature term is only marginally significant and positive rather than concave (p = .082), in sharp contrast to the sharp inverted-U observed in mainland transition economies. A weaker, suggestive pattern is that once firm capability is held constant the curvature becomes more strongly positive and marginally significant (wild-cluster bootstrap p = .056), hinting at a convex rather than concave relationship—a productivity penalty across the low-to-moderate export-intensity range in which almost all island firms operate; we present this convexity cautiously rather than as a confirmed reversal. Technological capability raises the productivity level (p = .036) but does not restore the inverted-U. We interpret this pattern through the concept of a Forced Internationalization Penalty—a theoretical limiting case in which compulsory, prerequisite-deprived internationalization becomes performance-eroding—while reporting transparently that any strong negative point estimate is sensitive to the small number of island economies with complete firm-level data. The study identifies the previously implicit structural prerequisites of the inverted-U paradigm, bounds its scope, and carries direct implications for export-led-growth strategy in microstates.</w:t>
      </w:r>
    </w:p>
    <w:p>
      <w:pPr>
        <w:pStyle w:val="BodyText"/>
      </w:pPr>
      <w:r>
        <w:rPr>
          <w:bCs/>
          <w:b/>
        </w:rPr>
        <w:t xml:space="preserve">Keywords:</w:t>
      </w:r>
      <w:r>
        <w:t xml:space="preserve"> </w:t>
      </w:r>
      <w:r>
        <w:t xml:space="preserve">internationalization–performance relationship; inverted-U; boundary conditions; small island developing states; forced internationalization; institutional voids; labor productivity; Pacific economies</w:t>
      </w:r>
    </w:p>
    <w:p>
      <w:pPr>
        <w:pStyle w:val="BodyText"/>
      </w:pPr>
      <w:r>
        <w:rPr>
          <w:bCs/>
          <w:b/>
        </w:rPr>
        <w:t xml:space="preserve">JEL codes:</w:t>
      </w:r>
      <w:r>
        <w:t xml:space="preserve"> </w:t>
      </w:r>
      <w:r>
        <w:t xml:space="preserve">F23 (Multinational firms; international business); O19 (International linkages to development); F14 (Empirical studies of trade); D22 (Firm behavior: empirical analysis)</w:t>
      </w:r>
    </w:p>
    <w:p>
      <w:r>
        <w:pict>
          <v:rect style="width:0;height:1.5pt" o:hralign="center" o:hrstd="t" o:hr="t"/>
        </w:pict>
      </w:r>
    </w:p>
    <w:bookmarkEnd w:id="20"/>
    <w:bookmarkStart w:id="21" w:name="declarations"/>
    <w:p>
      <w:pPr>
        <w:pStyle w:val="Heading3"/>
      </w:pPr>
      <w:r>
        <w:t xml:space="preserve">Declarations</w:t>
      </w:r>
    </w:p>
    <w:p>
      <w:pPr>
        <w:pStyle w:val="FirstParagraph"/>
      </w:pPr>
      <w:r>
        <w:rPr>
          <w:bCs/>
          <w:b/>
        </w:rPr>
        <w:t xml:space="preserve">Funding.</w:t>
      </w:r>
      <w:r>
        <w:t xml:space="preserve"> </w:t>
      </w:r>
      <w:r>
        <w:t xml:space="preserve">This research received no specific grant from any funding agency in the public, commercial, or not-for-profit sectors.</w:t>
      </w:r>
    </w:p>
    <w:p>
      <w:pPr>
        <w:pStyle w:val="BodyText"/>
      </w:pPr>
      <w:r>
        <w:rPr>
          <w:bCs/>
          <w:b/>
        </w:rPr>
        <w:t xml:space="preserve">Conflict of interest.</w:t>
      </w:r>
      <w:r>
        <w:t xml:space="preserve"> </w:t>
      </w:r>
      <w:r>
        <w:t xml:space="preserve">The author declares no competing interests.</w:t>
      </w:r>
    </w:p>
    <w:p>
      <w:pPr>
        <w:pStyle w:val="BodyText"/>
      </w:pPr>
      <w:r>
        <w:rPr>
          <w:bCs/>
          <w:b/>
        </w:rPr>
        <w:t xml:space="preserve">Data availability.</w:t>
      </w:r>
      <w:r>
        <w:t xml:space="preserve"> </w:t>
      </w:r>
      <w:r>
        <w:t xml:space="preserve">The study uses the World Bank Enterprise Surveys, publicly available at https://www.enterprisesurveys.org. The analytic dataset and replication code are available from the author on request.</w:t>
      </w:r>
    </w:p>
    <w:p>
      <w:pPr>
        <w:pStyle w:val="BodyText"/>
      </w:pPr>
      <w:r>
        <w:rPr>
          <w:bCs/>
          <w:b/>
        </w:rPr>
        <w:t xml:space="preserve">Ethics.</w:t>
      </w:r>
      <w:r>
        <w:t xml:space="preserve"> </w:t>
      </w:r>
      <w:r>
        <w:t xml:space="preserve">The study uses de-identified, publicly available firm-level survey data and required no ethics approval.</w:t>
      </w:r>
    </w:p>
    <w:p>
      <w:pPr>
        <w:pStyle w:val="BodyText"/>
      </w:pPr>
      <w:r>
        <w:rPr>
          <w:bCs/>
          <w:b/>
        </w:rPr>
        <w:t xml:space="preserve">Generative-AI disclosure.</w:t>
      </w:r>
      <w:r>
        <w:t xml:space="preserve"> </w:t>
      </w:r>
      <w:r>
        <w:t xml:space="preserve">AI-assisted tools were used for language editing and code-checking support; all analysis, interpretation, and conclusions are the author’s own, and the author takes full responsibility for the content.</w:t>
      </w:r>
    </w:p>
    <w:p>
      <w:pPr>
        <w:pStyle w:val="BodyText"/>
      </w:pPr>
      <w:r>
        <w:rPr>
          <w:bCs/>
          <w:b/>
        </w:rPr>
        <w:t xml:space="preserve">Acknowledgements.</w:t>
      </w:r>
      <w:r>
        <w:t xml:space="preserve"> </w:t>
      </w:r>
      <w:r>
        <w:t xml:space="preserve">The author thanks Assoc. Prof. Dr. Phan Anh Tú for doctoral supervision and the World Bank Enterprise Surveys team for data access.</w:t>
      </w:r>
    </w:p>
    <w:p>
      <w:pPr>
        <w:pStyle w:val="BodyText"/>
      </w:pPr>
      <w:r>
        <w:rPr>
          <w:bCs/>
          <w:b/>
        </w:rPr>
        <w:t xml:space="preserve">Word count (main text, excl. references and title page):</w:t>
      </w:r>
      <w:r>
        <w:t xml:space="preserve"> </w:t>
      </w:r>
      <w:r>
        <w:t xml:space="preserve">~5,200 words.</w:t>
      </w:r>
    </w:p>
    <w:bookmarkEnd w:id="21"/>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2026-06-19T13:55:43Z</dcterms:created>
  <dcterms:modified xsi:type="dcterms:W3CDTF">2026-06-19T13:55:43Z</dcterms:modified>
</cp:coreProperties>
</file>

<file path=docProps/custom.xml><?xml version="1.0" encoding="utf-8"?>
<Properties xmlns="http://schemas.openxmlformats.org/officeDocument/2006/custom-properties" xmlns:vt="http://schemas.openxmlformats.org/officeDocument/2006/docPropsVTypes"/>
</file>