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Revisiting the Internationalisation–Performance Relationship in an Emerging Market: The Roles of Technological Capability and Foundational Digital Adoption</w:t>
      </w:r>
    </w:p>
    <w:p>
      <w:pPr>
        <w:pStyle w:val="BodyText"/>
      </w:pPr>
      <w:r>
        <w:rPr>
          <w:iCs/>
          <w:i/>
        </w:rPr>
        <w:t xml:space="preserve">Target journal:</w:t>
      </w:r>
      <w:r>
        <w:t xml:space="preserve"> </w:t>
      </w:r>
      <w:r>
        <w:t xml:space="preserve">Journal of Asia Business Studies (JABS), Emerald Publishing</w:t>
      </w:r>
    </w:p>
    <w:p>
      <w:pPr>
        <w:pStyle w:val="BodyText"/>
      </w:pPr>
      <w:r>
        <w:rPr>
          <w:iCs/>
          <w:i/>
        </w:rPr>
        <w:t xml:space="preserve">Submission date:</w:t>
      </w:r>
      <w:r>
        <w:t xml:space="preserve"> </w:t>
      </w:r>
      <w:r>
        <w:t xml:space="preserve">15 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huongp1323001@gstudent.ctu.edu.vn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pPr>
        <w:pStyle w:val="BodyText"/>
      </w:pPr>
      <w:r>
        <w:t xml:space="preserve">The replication package accompanying this manuscript was developed to support methodological transparency and computational reproducibility.</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corresponding author upon reasonable request and may be shared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6,800 words</w:t>
            </w:r>
          </w:p>
        </w:tc>
      </w:tr>
      <w:tr>
        <w:tc>
          <w:tcPr/>
          <w:p>
            <w:pPr>
              <w:pStyle w:val="Compact"/>
              <w:jc w:val="left"/>
            </w:pPr>
            <w:r>
              <w:t xml:space="preserve">Abstract word count</w:t>
            </w:r>
          </w:p>
        </w:tc>
        <w:tc>
          <w:tcPr/>
          <w:p>
            <w:pPr>
              <w:pStyle w:val="Compact"/>
              <w:jc w:val="left"/>
            </w:pPr>
            <w:r>
              <w:t xml:space="preserve">247 words</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6 (inline)</w:t>
            </w:r>
          </w:p>
        </w:tc>
      </w:tr>
      <w:tr>
        <w:tc>
          <w:tcPr/>
          <w:p>
            <w:pPr>
              <w:pStyle w:val="Compact"/>
              <w:jc w:val="left"/>
            </w:pPr>
            <w:r>
              <w:t xml:space="preserve">References</w:t>
            </w:r>
          </w:p>
        </w:tc>
        <w:tc>
          <w:tcPr/>
          <w:p>
            <w:pPr>
              <w:pStyle w:val="Compact"/>
              <w:jc w:val="left"/>
            </w:pPr>
            <w:r>
              <w:t xml:space="preserve">48</w:t>
            </w:r>
          </w:p>
        </w:tc>
      </w:tr>
      <w:tr>
        <w:tc>
          <w:tcPr/>
          <w:p>
            <w:pPr>
              <w:pStyle w:val="Compact"/>
              <w:jc w:val="left"/>
            </w:pPr>
            <w:r>
              <w:t xml:space="preserve">Keywords</w:t>
            </w:r>
          </w:p>
        </w:tc>
        <w:tc>
          <w:tcPr/>
          <w:p>
            <w:pPr>
              <w:pStyle w:val="Compact"/>
              <w:jc w:val="left"/>
            </w:pPr>
            <w:r>
              <w:t xml:space="preserve">internationalisation–performance; emerging markets; digital adoption; technological capability; Vietnam; firm productivity</w:t>
            </w:r>
          </w:p>
        </w:tc>
      </w:tr>
      <w:tr>
        <w:tc>
          <w:tcPr/>
          <w:p>
            <w:pPr>
              <w:pStyle w:val="Compact"/>
              <w:jc w:val="left"/>
            </w:pPr>
            <w:r>
              <w:t xml:space="preserve">JEL codes</w:t>
            </w:r>
          </w:p>
        </w:tc>
        <w:tc>
          <w:tcPr/>
          <w:p>
            <w:pPr>
              <w:pStyle w:val="Compact"/>
              <w:jc w:val="left"/>
            </w:pPr>
            <w:r>
              <w:t xml:space="preserve">F23, O33, D22, L25, O53</w:t>
            </w:r>
          </w:p>
        </w:tc>
      </w:tr>
      <w:tr>
        <w:tc>
          <w:tcPr/>
          <w:p>
            <w:pPr>
              <w:pStyle w:val="Compact"/>
              <w:jc w:val="left"/>
            </w:pPr>
            <w:r>
              <w:t xml:space="preserve">Data source</w:t>
            </w:r>
          </w:p>
        </w:tc>
        <w:tc>
          <w:tcPr/>
          <w:p>
            <w:pPr>
              <w:pStyle w:val="Compact"/>
              <w:jc w:val="left"/>
            </w:pPr>
            <w:r>
              <w:t xml:space="preserve">World Bank Enterprise Surveys (Vietnam 2009, 2015,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2026-05-15T06:40:33Z</dcterms:created>
  <dcterms:modified xsi:type="dcterms:W3CDTF">2026-05-15T06:40:33Z</dcterms:modified>
</cp:coreProperties>
</file>

<file path=docProps/custom.xml><?xml version="1.0" encoding="utf-8"?>
<Properties xmlns="http://schemas.openxmlformats.org/officeDocument/2006/custom-properties" xmlns:vt="http://schemas.openxmlformats.org/officeDocument/2006/docPropsVTypes"/>
</file>