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w:t>
      </w:r>
      <w:r>
        <w:t xml:space="preserve"> </w:t>
      </w:r>
      <w:r>
        <w:rPr>
          <w:bCs/>
          <w:b/>
        </w:rPr>
        <w:t xml:space="preserve">chi phí buộc phải quốc tế hóa (Forced Internationalization Penalty, FIP)</w:t>
      </w:r>
      <w:r>
        <w:t xml:space="preserve"> </w:t>
      </w:r>
      <w:r>
        <w:t xml:space="preserve">ở 7 SIDS Thái Bình Dương. Đọc tổng thể, bảy tiểu cảnh không phải các trường hợp rời rạc mà là các vùng trên một</w:t>
      </w:r>
      <w:r>
        <w:t xml:space="preserve"> </w:t>
      </w:r>
      <w:r>
        <w:rPr>
          <w:bCs/>
          <w:b/>
        </w:rPr>
        <w:t xml:space="preserve">bản đồ địa hình xuất khẩu chiến lược (strategic export topography)</w:t>
      </w:r>
      <w:r>
        <w:t xml:space="preserve">. Trên bản đồ này, chế độ thể chế ICRV vận hành như một bộ lọc chi phí giao dịch, định vị nơi hiệu quả quốc tế hóa đạt đỉnh hay sụp đổ. Phát hiện này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0"/>
          <w:numId w:val="1001"/>
        </w:numPr>
        <w:pStyle w:val="Compact"/>
      </w:pPr>
      <w:r>
        <w:t xml:space="preserve">2.1.1 Đặt vấn đề và tính cấp thiết</w:t>
      </w:r>
    </w:p>
    <w:p>
      <w:pPr>
        <w:numPr>
          <w:ilvl w:val="0"/>
          <w:numId w:val="1001"/>
        </w:numPr>
        <w:pStyle w:val="Compact"/>
      </w:pPr>
      <w:r>
        <w:t xml:space="preserve">2.1.2 Mục tiêu chuyên đề</w:t>
      </w:r>
    </w:p>
    <w:p>
      <w:pPr>
        <w:numPr>
          <w:ilvl w:val="0"/>
          <w:numId w:val="1001"/>
        </w:numPr>
        <w:pStyle w:val="Compact"/>
      </w:pPr>
      <w:r>
        <w:t xml:space="preserve">2.1.3 Nội dung và phạm vi nghiên cứu</w:t>
      </w:r>
    </w:p>
    <w:p>
      <w:pPr>
        <w:numPr>
          <w:ilvl w:val="0"/>
          <w:numId w:val="1001"/>
        </w:numPr>
        <w:pStyle w:val="Compact"/>
      </w:pPr>
      <w:r>
        <w:t xml:space="preserve">2.1.4 Giới hạn nghiên cứu</w:t>
      </w:r>
    </w:p>
    <w:p>
      <w:pPr>
        <w:numPr>
          <w:ilvl w:val="0"/>
          <w:numId w:val="1001"/>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0"/>
          <w:numId w:val="1001"/>
        </w:numPr>
        <w:pStyle w:val="Compact"/>
      </w:pPr>
      <w:r>
        <w:t xml:space="preserve">2.3.1 Cơ sở lý luận về hiệu quả hoạt động kinh doanh</w:t>
      </w:r>
    </w:p>
    <w:p>
      <w:pPr>
        <w:numPr>
          <w:ilvl w:val="0"/>
          <w:numId w:val="1001"/>
        </w:numPr>
        <w:pStyle w:val="Compact"/>
      </w:pPr>
      <w:r>
        <w:t xml:space="preserve">2.3.2 Khung phân loại thể chế ICRV</w:t>
      </w:r>
    </w:p>
    <w:p>
      <w:pPr>
        <w:numPr>
          <w:ilvl w:val="0"/>
          <w:numId w:val="1001"/>
        </w:numPr>
        <w:pStyle w:val="Compact"/>
      </w:pPr>
      <w:r>
        <w:t xml:space="preserve">2.3.3 Thực trạng năng suất lao động và quốc tế hóa</w:t>
      </w:r>
    </w:p>
    <w:p>
      <w:pPr>
        <w:numPr>
          <w:ilvl w:val="0"/>
          <w:numId w:val="1001"/>
        </w:numPr>
        <w:pStyle w:val="Compact"/>
      </w:pPr>
      <w:r>
        <w:t xml:space="preserve">2.3.4 Đổi mới sáng tạo và năng lực số hóa</w:t>
      </w:r>
    </w:p>
    <w:p>
      <w:pPr>
        <w:numPr>
          <w:ilvl w:val="0"/>
          <w:numId w:val="1001"/>
        </w:numPr>
        <w:pStyle w:val="Compact"/>
      </w:pPr>
      <w:r>
        <w:t xml:space="preserve">2.3.5 Cấu trúc doanh nghiệp</w:t>
      </w:r>
    </w:p>
    <w:p>
      <w:pPr>
        <w:numPr>
          <w:ilvl w:val="0"/>
          <w:numId w:val="1001"/>
        </w:numPr>
        <w:pStyle w:val="Compact"/>
      </w:pPr>
      <w:r>
        <w:t xml:space="preserve">2.3.6 Biến thiên theo thời gian (2009-2025)</w:t>
      </w:r>
    </w:p>
    <w:p>
      <w:pPr>
        <w:numPr>
          <w:ilvl w:val="0"/>
          <w:numId w:val="1001"/>
        </w:numPr>
        <w:pStyle w:val="Compact"/>
      </w:pPr>
      <w:r>
        <w:t xml:space="preserve">2.3.7 Bảy tiểu cảnh điển hình</w:t>
      </w:r>
    </w:p>
    <w:p>
      <w:pPr>
        <w:numPr>
          <w:ilvl w:val="0"/>
          <w:numId w:val="1001"/>
        </w:numPr>
        <w:pStyle w:val="Compact"/>
      </w:pPr>
      <w:r>
        <w:t xml:space="preserve">2.3.8 Yếu tố giải thích sơ bộ</w:t>
      </w:r>
    </w:p>
    <w:p>
      <w:pPr>
        <w:numPr>
          <w:ilvl w:val="0"/>
          <w:numId w:val="1001"/>
        </w:numPr>
        <w:pStyle w:val="Compact"/>
      </w:pPr>
      <w:r>
        <w:t xml:space="preserve">2.3.9 Thảo luận tổng hợp</w:t>
      </w:r>
    </w:p>
    <w:p>
      <w:pPr>
        <w:numPr>
          <w:ilvl w:val="0"/>
          <w:numId w:val="1001"/>
        </w:numPr>
        <w:pStyle w:val="Compact"/>
      </w:pPr>
      <w:r>
        <w:rPr>
          <w:bCs/>
          <w:b/>
        </w:rPr>
        <w:t xml:space="preserve">2.4 Kết luận</w:t>
      </w:r>
    </w:p>
    <w:p>
      <w:pPr>
        <w:numPr>
          <w:ilvl w:val="0"/>
          <w:numId w:val="1001"/>
        </w:numPr>
        <w:pStyle w:val="Compact"/>
      </w:pPr>
      <w:r>
        <w:t xml:space="preserve">2.4.1 Kết luận chính</w:t>
      </w:r>
    </w:p>
    <w:p>
      <w:pPr>
        <w:numPr>
          <w:ilvl w:val="0"/>
          <w:numId w:val="1001"/>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dồn đơn hàng sớm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2"/>
        </w:numPr>
        <w:pStyle w:val="Compact"/>
      </w:pPr>
      <w:r>
        <w:t xml:space="preserve">Hệ thống hóa khái niệm và đa chiều đo lường hiệu quả hoạt động kinh doanh trong các nghiên cứu hiện hành;</w:t>
      </w:r>
    </w:p>
    <w:p>
      <w:pPr>
        <w:numPr>
          <w:ilvl w:val="0"/>
          <w:numId w:val="1002"/>
        </w:numPr>
        <w:pStyle w:val="Compact"/>
      </w:pPr>
      <w:r>
        <w:t xml:space="preserve">Đề xuất khung phân loại 6 phân nhóm con ICRV cho 47 nền kinh tế;</w:t>
      </w:r>
    </w:p>
    <w:p>
      <w:pPr>
        <w:numPr>
          <w:ilvl w:val="0"/>
          <w:numId w:val="1002"/>
        </w:numPr>
        <w:pStyle w:val="Compact"/>
      </w:pPr>
      <w:r>
        <w:t xml:space="preserve">Phân tích thực trạng đa chiều hiệu quả doanh nghiệp ở 41 nước châu Á (phạm vi chính) và so sánh với 7 SIDS Pacific (trường hợp biên);</w:t>
      </w:r>
    </w:p>
    <w:p>
      <w:pPr>
        <w:numPr>
          <w:ilvl w:val="0"/>
          <w:numId w:val="1002"/>
        </w:numPr>
        <w:pStyle w:val="Compact"/>
      </w:pPr>
      <w:r>
        <w:t xml:space="preserve">Nhận diện đặc điểm và yếu tố giải thích sơ bộ cho dị biệt hiệu quả giữa các phân nhóm;</w:t>
      </w:r>
    </w:p>
    <w:p>
      <w:pPr>
        <w:numPr>
          <w:ilvl w:val="0"/>
          <w:numId w:val="1002"/>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3"/>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3"/>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3"/>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3"/>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4"/>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5"/>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5"/>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5"/>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5"/>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81"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không đồng nhất đáng kể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et al.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p>
      <w:r>
        <w:pict>
          <v:rect style="width:0;height:1.5pt" o:hralign="center" o:hrstd="t" o:hr="t"/>
        </w:pict>
      </w:r>
    </w:p>
    <w:bookmarkEnd w:id="39"/>
    <w:bookmarkEnd w:id="40"/>
    <w:bookmarkStart w:id="45" w:name="khung-phân-loại-thể-chế-icrv"/>
    <w:p>
      <w:pPr>
        <w:pStyle w:val="Heading3"/>
      </w:pPr>
      <w:r>
        <w:t xml:space="preserve">2.3.2 Khung phân loại thể chế ICRV</w:t>
      </w:r>
    </w:p>
    <w:bookmarkStart w:id="41" w:name="lý-do-phân-loại"/>
    <w:p>
      <w:pPr>
        <w:pStyle w:val="Heading4"/>
      </w:pPr>
      <w:r>
        <w:t xml:space="preserve">2.3.2.1 Lý do phân loại</w:t>
      </w:r>
    </w:p>
    <w:p>
      <w:pPr>
        <w:pStyle w:val="FirstParagraph"/>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p>
      <w:pPr>
        <w:numPr>
          <w:ilvl w:val="0"/>
          <w:numId w:val="1006"/>
        </w:numPr>
      </w:pPr>
      <w:r>
        <w:rPr>
          <w:bCs/>
          <w:b/>
        </w:rPr>
        <w:t xml:space="preserve">Tính phân biệt</w:t>
      </w:r>
      <w:r>
        <w:t xml:space="preserve">: mỗi nhóm phải có mô hình hiệu quả doanh nghiệp khác biệt thực sự, không chỉ khác nhau về mức GDP bình quân đầu người;</w:t>
      </w:r>
    </w:p>
    <w:p>
      <w:pPr>
        <w:numPr>
          <w:ilvl w:val="0"/>
          <w:numId w:val="1006"/>
        </w:numPr>
      </w:pP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p>
      <w:pPr>
        <w:numPr>
          <w:ilvl w:val="0"/>
          <w:numId w:val="1006"/>
        </w:numPr>
      </w:pPr>
      <w:r>
        <w:rPr>
          <w:bCs/>
          <w:b/>
        </w:rPr>
        <w:t xml:space="preserve">Tính khả dụng dữ liệu</w:t>
      </w:r>
      <w:r>
        <w:t xml:space="preserve">: mỗi nhóm phải có đủ quan sát WBES để phân tích có ý nghĩa thống kê (tối thiểu 500 doanh nghiệp);</w:t>
      </w:r>
    </w:p>
    <w:p>
      <w:pPr>
        <w:numPr>
          <w:ilvl w:val="0"/>
          <w:numId w:val="1006"/>
        </w:numPr>
      </w:pPr>
      <w:r>
        <w:rPr>
          <w:bCs/>
          <w:b/>
        </w:rPr>
        <w:t xml:space="preserve">Tính minh bạch và tái tạo</w:t>
      </w:r>
      <w:r>
        <w:t xml:space="preserve">: tiêu chí phân loại phải rõ ràng và có thể áp dụng nhất quán.</w:t>
      </w:r>
    </w:p>
    <w:bookmarkEnd w:id="41"/>
    <w:bookmarkStart w:id="42" w:name="tiêu-chí-phân-loại-sáu-nhóm"/>
    <w:p>
      <w:pPr>
        <w:pStyle w:val="Heading4"/>
      </w:pPr>
      <w:r>
        <w:t xml:space="preserve">2.3.2.2 Tiêu chí phân loại sáu nhóm</w:t>
      </w:r>
    </w:p>
    <w:p>
      <w:pPr>
        <w:pStyle w:val="FirstParagraph"/>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p>
      <w:pPr>
        <w:pStyle w:val="BodyTex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p>
      <w:pPr>
        <w:pStyle w:val="BodyTex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p>
      <w:pPr>
        <w:pStyle w:val="BodyTex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p>
      <w:pPr>
        <w:pStyle w:val="BodyText"/>
      </w:pPr>
      <w:r>
        <w:rPr>
          <w:bCs/>
          <w:b/>
        </w:rPr>
        <w:t xml:space="preserve">Nhóm V, Cận biên (Frontier)</w:t>
      </w:r>
      <w:r>
        <w:t xml:space="preserve">: WGI Rule of Law &lt; -0,50; GNI bình quân đầu người &lt;1.000 hoặc &lt;3.000 USD với khoảng trống thể chế (institutional voids)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p>
      <w:pPr>
        <w:pStyle w:val="BodyTex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bookmarkEnd w:id="42"/>
    <w:bookmarkStart w:id="43" w:name="danh-sách-47-nền-kinh-tế-theo-nhóm-icrv"/>
    <w:p>
      <w:pPr>
        <w:pStyle w:val="Heading4"/>
      </w:pPr>
      <w:r>
        <w:t xml:space="preserve">2.3.2.3 Danh sách 47 nền kinh tế theo nhóm ICRV</w:t>
      </w:r>
    </w:p>
    <w:p>
      <w:pPr>
        <w:pStyle w:val="FirstParagraph"/>
      </w:pPr>
      <w:r>
        <w:rPr>
          <w:bCs/>
          <w:b/>
        </w:rPr>
        <w:t xml:space="preserve">Bảng 2.3.2.1</w:t>
      </w:r>
      <w:r>
        <w:t xml:space="preserve">.</w:t>
      </w:r>
      <w:r>
        <w:t xml:space="preserve"> </w:t>
      </w:r>
      <w:r>
        <w:rPr>
          <w:iCs/>
          <w:i/>
        </w:rPr>
        <w:t xml:space="preserve">Phân loại 47 nền kinh tế vào 6 nhóm ICRV, tiêu chí và số doanh nghiệp.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innovation-driven</w:t>
            </w:r>
          </w:p>
        </w:tc>
        <w:tc>
          <w:tcPr/>
          <w:p>
            <w:pPr>
              <w:pStyle w:val="Compact"/>
              <w:jc w:val="left"/>
            </w:pPr>
            <w:r>
              <w:t xml:space="preserve">Singapore, Hong Kong SAR, Hàn Quốc, Đài Loan, Israel</w:t>
            </w:r>
          </w:p>
        </w:tc>
        <w:tc>
          <w:tcPr/>
          <w:p>
            <w:pPr>
              <w:pStyle w:val="Compact"/>
              <w:jc w:val="left"/>
            </w:pPr>
            <w:r>
              <w:t xml:space="preserve">~4.708</w:t>
            </w:r>
          </w:p>
        </w:tc>
      </w:tr>
      <w:tr>
        <w:tc>
          <w:tcPr/>
          <w:p>
            <w:pPr>
              <w:pStyle w:val="Compact"/>
              <w:jc w:val="left"/>
            </w:pPr>
            <w:r>
              <w:rPr>
                <w:bCs/>
                <w:b/>
              </w:rPr>
              <w:t xml:space="preserve">II</w:t>
            </w:r>
          </w:p>
        </w:tc>
        <w:tc>
          <w:tcPr/>
          <w:p>
            <w:pPr>
              <w:pStyle w:val="Compact"/>
              <w:jc w:val="left"/>
            </w:pPr>
            <w:r>
              <w:t xml:space="preserve">Advanced, resource-driven</w:t>
            </w:r>
          </w:p>
        </w:tc>
        <w:tc>
          <w:tcPr/>
          <w:p>
            <w:pPr>
              <w:pStyle w:val="Compact"/>
              <w:jc w:val="left"/>
            </w:pPr>
            <w:r>
              <w:t xml:space="preserve">Saudi Arabia, Qatar, Kuwait, Bahrain, Brunei</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Trung Quốc, Malaysia, Thái Lan, Kazakhstan, Armenia, Georgia</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Việt Nam, Indonesia, Philippines, Ấn Độ, Sri Lanka, Jordan, Mông Cổ</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Bangladesh, Pakistan, Lào, Campuchia, Myanmar, Nepal, Bhutan, Maldives, Uzbekistan, Tajikistan, Kyrgyz Republic, Turkmenistan, Afghanistan, Timor-Leste, Iraq, Lebanon, Yemen</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Fiji, Papua New Guinea, Solomon Islands, Tonga, Vanuatu, Samoa, Kiribati</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theo pool 101.185; tổng 5 nhóm chính (I-V) = 99.814 (phạm vi chính 41 nước châu Á); SIDS Nhóm VI = 1.371 (1,4% pool). Nhóm Advanced (I + II = 6.640) lấy từ pool WBES đã hài hòa hóa; tỷ lệ innovation/resource là xấp xỉ, hao hụt do thiếu dữ liệu năng suất chi tiết ở Bảng 2.3.3.1 (mẫu phân tích Advanced gộp = 5.921).</w:t>
      </w:r>
    </w:p>
    <w:bookmarkEnd w:id="43"/>
    <w:bookmarkStart w:id="44" w:name="đặc-điểm-các-nhóm-icrv"/>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WGI, GNI, cơ chế tăng trưởng, pattern WBES dự kiến.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quốc tế hóa - hiệu quả</w:t>
            </w:r>
          </w:p>
        </w:tc>
      </w:tr>
      <w:tr>
        <w:tc>
          <w:tcPr/>
          <w:p>
            <w:pPr>
              <w:pStyle w:val="Compact"/>
              <w:jc w:val="left"/>
            </w:pPr>
            <w:r>
              <w:t xml:space="preserve">I,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U ngược nhẹ / tuyến tính dương; điểm uốn ~82% (SG)</w:t>
            </w:r>
          </w:p>
        </w:tc>
      </w:tr>
      <w:tr>
        <w:tc>
          <w:tcPr/>
          <w:p>
            <w:pPr>
              <w:pStyle w:val="Compact"/>
              <w:jc w:val="left"/>
            </w:pPr>
            <w:r>
              <w:t xml:space="preserve">II, Resource</w:t>
            </w:r>
          </w:p>
        </w:tc>
        <w:tc>
          <w:tcPr/>
          <w:p>
            <w:pPr>
              <w:pStyle w:val="Compact"/>
              <w:jc w:val="left"/>
            </w:pPr>
            <w:r>
              <w:t xml:space="preserve">+0,00 đến +0,50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nhà nước tô phân phối lại</w:t>
            </w:r>
          </w:p>
        </w:tc>
      </w:tr>
      <w:tr>
        <w:tc>
          <w:tcPr/>
          <w:p>
            <w:pPr>
              <w:pStyle w:val="Compact"/>
              <w:jc w:val="left"/>
            </w:pPr>
            <w:r>
              <w:t xml:space="preserve">III, Upper-mid</w:t>
            </w:r>
          </w:p>
        </w:tc>
        <w:tc>
          <w:tcPr/>
          <w:p>
            <w:pPr>
              <w:pStyle w:val="Compact"/>
              <w:jc w:val="left"/>
            </w:pPr>
            <w:r>
              <w:t xml:space="preserve">0,00 đến +0,80</w:t>
            </w:r>
          </w:p>
        </w:tc>
        <w:tc>
          <w:tcPr/>
          <w:p>
            <w:pPr>
              <w:pStyle w:val="Compact"/>
              <w:jc w:val="left"/>
            </w:pPr>
            <w:r>
              <w:t xml:space="preserve">$5k–$20k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U ngược; điểm uốn ~47%</w:t>
            </w:r>
          </w:p>
        </w:tc>
      </w:tr>
      <w:tr>
        <w:tc>
          <w:tcPr/>
          <w:p>
            <w:pPr>
              <w:pStyle w:val="Compact"/>
              <w:jc w:val="left"/>
            </w:pPr>
            <w:r>
              <w:t xml:space="preserve">IV, Emerging</w:t>
            </w:r>
          </w:p>
        </w:tc>
        <w:tc>
          <w:tcPr/>
          <w:p>
            <w:pPr>
              <w:pStyle w:val="Compact"/>
              <w:jc w:val="left"/>
            </w:pPr>
            <w:r>
              <w:t xml:space="preserve">-0,50 đến 0,00</w:t>
            </w:r>
          </w:p>
        </w:tc>
        <w:tc>
          <w:tcPr/>
          <w:p>
            <w:pPr>
              <w:pStyle w:val="Compact"/>
              <w:jc w:val="left"/>
            </w:pPr>
            <w:r>
              <w:t xml:space="preserve">$1k–$5k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U ngược; điểm uốn 39-46% (VNM), bẫy chuyển hướng nguồn lực</w:t>
            </w:r>
          </w:p>
        </w:tc>
      </w:tr>
      <w:tr>
        <w:tc>
          <w:tcPr/>
          <w:p>
            <w:pPr>
              <w:pStyle w:val="Compact"/>
              <w:jc w:val="left"/>
            </w:pPr>
            <w:r>
              <w:t xml:space="preserve">V, Frontier</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khoảng trống thể chế dẫn đến đổi mới bằng nguồn lực hạn chế</w:t>
            </w:r>
          </w:p>
        </w:tc>
      </w:tr>
      <w:tr>
        <w:tc>
          <w:tcPr/>
          <w:p>
            <w:pPr>
              <w:pStyle w:val="Compact"/>
              <w:jc w:val="left"/>
            </w:pPr>
            <w:r>
              <w:t xml:space="preserve">VI,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U-curve không vận hành</w:t>
            </w:r>
          </w:p>
        </w:tc>
      </w:tr>
    </w:tbl>
    <w:p>
      <w:pPr>
        <w:pStyle w:val="BodyText"/>
      </w:pPr>
      <w:r>
        <w:rPr>
          <w:iCs/>
          <w:i/>
        </w:rPr>
        <w:t xml:space="preserve">Nguồn: Tổng hợp từ World Bank Enterprise Surveys (2025); WGI từ Kaufmann et al. (2011); GNI từ World Bank (2025, tháng 7). Pattern WBES từ phân tích Chương 4 và Đỗ &amp; Phan.</w:t>
      </w:r>
    </w:p>
    <w:p>
      <w:r>
        <w:pict>
          <v:rect style="width:0;height:1.5pt" o:hralign="center" o:hrstd="t" o:hr="t"/>
        </w:pict>
      </w:r>
    </w:p>
    <w:bookmarkEnd w:id="44"/>
    <w:bookmarkEnd w:id="45"/>
    <w:bookmarkStart w:id="49" w:name="X71126d3a9cbef6cfbe4977212de66e8cb3d47a9"/>
    <w:p>
      <w:pPr>
        <w:pStyle w:val="Heading3"/>
      </w:pPr>
      <w:r>
        <w:t xml:space="preserve">2.3.3 Thực trạng năng suất lao động và quốc tế hóa</w:t>
      </w:r>
    </w:p>
    <w:bookmarkStart w:id="46"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6"/>
    <w:bookmarkStart w:id="47"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7"/>
    <w:bookmarkStart w:id="48"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8"/>
    <w:bookmarkEnd w:id="49"/>
    <w:bookmarkStart w:id="53" w:name="đổi-mới-sáng-tạo-và-năng-lực-số-hóa"/>
    <w:p>
      <w:pPr>
        <w:pStyle w:val="Heading3"/>
      </w:pPr>
      <w:r>
        <w:t xml:space="preserve">2.3.4 Đổi mới sáng tạo và năng lực số hóa</w:t>
      </w:r>
    </w:p>
    <w:bookmarkStart w:id="50"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50"/>
    <w:bookmarkStart w:id="51"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51"/>
    <w:bookmarkStart w:id="52"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52"/>
    <w:bookmarkEnd w:id="53"/>
    <w:bookmarkStart w:id="56" w:name="cấu-trúc-doanh-nghiệp"/>
    <w:p>
      <w:pPr>
        <w:pStyle w:val="Heading3"/>
      </w:pPr>
      <w:r>
        <w:t xml:space="preserve">2.3.5 Cấu trúc doanh nghiệp</w:t>
      </w:r>
    </w:p>
    <w:bookmarkStart w:id="54"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54"/>
    <w:bookmarkStart w:id="55"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khoảng trống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khoảng trống thể chế tại Frontier giải thích tại sao quan hệ quốc tế hóa - hiệu quả ở nhóm này yếu và không đơn điệu.</w:t>
      </w:r>
    </w:p>
    <w:p>
      <w:r>
        <w:pict>
          <v:rect style="width:0;height:1.5pt" o:hralign="center" o:hrstd="t" o:hr="t"/>
        </w:pict>
      </w:r>
    </w:p>
    <w:bookmarkEnd w:id="55"/>
    <w:bookmarkEnd w:id="56"/>
    <w:bookmarkStart w:id="62" w:name="biến-thiên-theo-thời-gian-2009-2025"/>
    <w:p>
      <w:pPr>
        <w:pStyle w:val="Heading3"/>
      </w:pPr>
      <w:r>
        <w:t xml:space="preserve">2.3.6 Biến thiên theo thời gian (2009-2025)</w:t>
      </w:r>
    </w:p>
    <w:bookmarkStart w:id="57"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7"/>
    <w:bookmarkStart w:id="58"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8"/>
    <w:bookmarkStart w:id="59"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cho thấy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9"/>
    <w:bookmarkStart w:id="60"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60"/>
    <w:bookmarkStart w:id="61"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61"/>
    <w:bookmarkEnd w:id="62"/>
    <w:bookmarkStart w:id="71" w:name="bảy-tiểu-cảnh-điển-hình"/>
    <w:p>
      <w:pPr>
        <w:pStyle w:val="Heading3"/>
      </w:pPr>
      <w:r>
        <w:t xml:space="preserve">2.3.7 Bảy tiểu cảnh điển hình</w:t>
      </w:r>
    </w:p>
    <w:bookmarkStart w:id="63"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~82%.</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63"/>
    <w:bookmarkStart w:id="64"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64"/>
    <w:bookmarkStart w:id="65"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hạ nguồn (downstream) sang thiết kế và R&amp;D trung nguồn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5"/>
    <w:bookmarkStart w:id="66"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et al. (2024, IRFA) phân tích 80% mô hình rủi ro ngân hàng tại Trung Quốc phụ thuộc các nhà cung cấp công nghệ chi phối thị trường, cảnh báo cho lộ trình sản xuất thông minh.</w:t>
      </w:r>
    </w:p>
    <w:bookmarkEnd w:id="66"/>
    <w:bookmarkStart w:id="67"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7"/>
    <w:bookmarkStart w:id="68"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8"/>
    <w:bookmarkStart w:id="69"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9"/>
    <w:bookmarkStart w:id="70"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70"/>
    <w:bookmarkEnd w:id="71"/>
    <w:bookmarkStart w:id="75" w:name="yếu-tố-giải-thích-sơ-bộ"/>
    <w:p>
      <w:pPr>
        <w:pStyle w:val="Heading3"/>
      </w:pPr>
      <w:r>
        <w:t xml:space="preserve">2.3.8 Yếu tố giải thích sơ bộ</w:t>
      </w:r>
    </w:p>
    <w:bookmarkStart w:id="72"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xuyên chế độ thể chế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72"/>
    <w:bookmarkStart w:id="73"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nghịch lý EAP, nữ quản lý dẫn đầu toàn cầu nhưng trần sở hữu (ownership ceiling) thấp hơn trần quản lý (management ceiling) 7,7 điểm; (b) điểm nghẽn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73"/>
    <w:bookmarkStart w:id="74"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74"/>
    <w:bookmarkEnd w:id="75"/>
    <w:bookmarkStart w:id="80" w:name="thảo-luận-tổng-hợp"/>
    <w:p>
      <w:pPr>
        <w:pStyle w:val="Heading3"/>
      </w:pPr>
      <w:r>
        <w:t xml:space="preserve">2.3.9 Thảo luận tổng hợp</w:t>
      </w:r>
    </w:p>
    <w:bookmarkStart w:id="76"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6"/>
    <w:bookmarkStart w:id="77"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7"/>
    <w:bookmarkStart w:id="78"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xuyên chế độ thể chế không phải nhiễu mà là tín hiệu lý thuyết. Nghiên cứu kinh doanh quốc tế tương lai nên kiểm định hiệu ứng điều tiết theo nhóm ICRV trước khi báo cáo kích thước hiệu ứng trung bình.</w:t>
      </w:r>
    </w:p>
    <w:bookmarkEnd w:id="78"/>
    <w:bookmarkStart w:id="79"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xuyên chế độ thể chế quan trọng về lý thuyết.</w:t>
      </w:r>
    </w:p>
    <w:p>
      <w:pPr>
        <w:pStyle w:val="BodyText"/>
      </w:pPr>
      <w:r>
        <w:rPr>
          <w:bCs/>
          <w:b/>
        </w:rPr>
        <w:t xml:space="preserve">(4) Sai số chuẩn vững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9"/>
    <w:bookmarkEnd w:id="80"/>
    <w:bookmarkEnd w:id="81"/>
    <w:bookmarkStart w:id="86" w:name="kết-luận"/>
    <w:p>
      <w:pPr>
        <w:pStyle w:val="Heading2"/>
      </w:pPr>
      <w:r>
        <w:t xml:space="preserve">2.4 KẾT LUẬN</w:t>
      </w:r>
    </w:p>
    <w:bookmarkStart w:id="82"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82%);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xuyên chế độ thể chế.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trần quản lý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82"/>
    <w:bookmarkStart w:id="85" w:name="hàm-ý-và-đề-xuất"/>
    <w:p>
      <w:pPr>
        <w:pStyle w:val="Heading3"/>
      </w:pPr>
      <w:r>
        <w:t xml:space="preserve">2.4.2 Hàm ý và đề xuất</w:t>
      </w:r>
    </w:p>
    <w:bookmarkStart w:id="83" w:name="Xb96aebe161983f7eb681db97895f4deb1f50458"/>
    <w:p>
      <w:pPr>
        <w:pStyle w:val="Heading4"/>
      </w:pPr>
      <w:r>
        <w:t xml:space="preserve">2.4.2.1 Hàm ý chính sách cho doanh nghiệp Việt Nam và khu vực châu Á</w:t>
      </w:r>
    </w:p>
    <w:p>
      <w:pPr>
        <w:pStyle w:val="FirstParagraph"/>
      </w:pPr>
      <w:r>
        <w:rPr>
          <w:bCs/>
          <w:b/>
        </w:rPr>
        <w:t xml:space="preserve">(1) Tuần tự hóa năng lực (sequencing)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hạ nguồn sang thiết kế và R&amp;D trung nguồn</w:t>
      </w:r>
      <w:r>
        <w:t xml:space="preserve">: Việt Nam ở điểm uốn (39-46%). Trung Quốc R&amp;D 39,4% và điểm uốn cao hơn (47-49%) cho thấy: Sự chênh lệch điểm uốn giữa Trung Quốc (TP ~47-49%, Nhóm III) và Việt Nam (TP ~39-46%, Nhóm IV) phản ánh dải biến thiên (gradient) theo ICRV, không phải dải biến thiên theo TCI. TCI nâng mặt bằng năng suất ở mọi mức FSTS (hiệu ứng dịch chuyển mức, level-shift) nhưng không trực tiếp quyết định vị trí điểm uốn. Phân biệt hai cơ chế này có ý nghĩa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83"/>
    <w:bookmarkStart w:id="84"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doanh nghiệp siêu nhỏ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Kiểm định giả dược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84"/>
    <w:bookmarkEnd w:id="85"/>
    <w:bookmarkEnd w:id="86"/>
    <w:bookmarkStart w:id="87"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7"/>
    <w:bookmarkStart w:id="89" w:name="phụ-lục"/>
    <w:p>
      <w:pPr>
        <w:pStyle w:val="Heading2"/>
      </w:pPr>
      <w:r>
        <w:t xml:space="preserve">PHỤ LỤC</w:t>
      </w:r>
    </w:p>
    <w:bookmarkStart w:id="88"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8"/>
    <w:bookmarkEnd w:id="8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2026-06-03T03:52:47Z</dcterms:created>
  <dcterms:modified xsi:type="dcterms:W3CDTF">2026-06-03T03:52:47Z</dcterms:modified>
</cp:coreProperties>
</file>

<file path=docProps/custom.xml><?xml version="1.0" encoding="utf-8"?>
<Properties xmlns="http://schemas.openxmlformats.org/officeDocument/2006/custom-properties" xmlns:vt="http://schemas.openxmlformats.org/officeDocument/2006/docPropsVTypes"/>
</file>