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riêng phần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p>
      <w:pPr>
        <w:pStyle w:val="FirstParagraph"/>
      </w:pPr>
      <w:r>
        <w:rPr>
          <w:bCs/>
          <w:b/>
        </w:rPr>
        <w:t xml:space="preserve">Ấn Độ và điều kiện biên phạm vi áp dụng của khung CDCM.</w:t>
      </w:r>
      <w:r>
        <w:t xml:space="preserve"> </w:t>
      </w:r>
      <w:r>
        <w:t xml:space="preserve">Phát hiện ngưỡng phá vỡ tại Ấn Độ (P9’ India)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87</m:t>
        </m:r>
        <m:r>
          <m:rPr>
            <m:sty m:val="p"/>
          </m:rPr>
          <m:t>,</m:t>
        </m:r>
        <m:r>
          <m:t>8</m:t>
        </m:r>
        <m:r>
          <m:rPr>
            <m:sty m:val="p"/>
          </m:rPr>
          <m:t>%</m:t>
        </m:r>
      </m:oMath>
      <w:r>
        <w:t xml:space="preserve"> </w:t>
      </w:r>
      <w:r>
        <w:t xml:space="preserve">thành 76,1% ở tầng 2 và 11,8%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w:t>
      </w:r>
      <w:r>
        <w:t xml:space="preserve"> </w:t>
      </w:r>
      <w:r>
        <w:rPr>
          <w:bCs/>
          <w:b/>
        </w:rPr>
        <w:t xml:space="preserve">mức độ thiên lệch công bố được bao quát bởi sáu kiểm định bổ sung cho nhau</w:t>
      </w:r>
      <w:r>
        <w:t xml:space="preserve">: trim-and-fill cho</w:t>
      </w:r>
      <w:r>
        <w:t xml:space="preserve"> </w:t>
      </w:r>
      <m:oMath>
        <m:sSub>
          <m:e>
            <m:r>
              <m:t>r</m:t>
            </m:r>
          </m:e>
          <m:sub>
            <m:r>
              <m:rPr>
                <m:nor/>
                <m:sty m:val="p"/>
              </m:rPr>
              <m:t>adj</m:t>
            </m:r>
          </m:sub>
        </m:sSub>
        <m:r>
          <m:rPr>
            <m:sty m:val="p"/>
          </m:rPr>
          <m:t>=</m:t>
        </m:r>
        <m:r>
          <m:t>0</m:t>
        </m:r>
        <m:r>
          <m:rPr>
            <m:sty m:val="p"/>
          </m:rPr>
          <m:t>,</m:t>
        </m:r>
        <m:r>
          <m:t>035</m:t>
        </m:r>
      </m:oMath>
      <w:r>
        <w:t xml:space="preserve"> </w:t>
      </w:r>
      <w:r>
        <w:t xml:space="preserve">(mạnh nhất, có thể over-correct dưới dị biệt cao theo Terrin et al., 2003), PET-PEESE cho</w:t>
      </w:r>
      <w:r>
        <w:t xml:space="preserve"> </w:t>
      </w:r>
      <m:oMath>
        <m:sSub>
          <m:e>
            <m:r>
              <m:t>r</m:t>
            </m:r>
          </m:e>
          <m:sub>
            <m:r>
              <m:rPr>
                <m:nor/>
                <m:sty m:val="p"/>
              </m:rPr>
              <m:t>adj</m:t>
            </m:r>
          </m:sub>
        </m:sSub>
        <m:r>
          <m:rPr>
            <m:sty m:val="p"/>
          </m:rPr>
          <m:t>=</m:t>
        </m:r>
        <m:r>
          <m:t>0</m:t>
        </m:r>
        <m:r>
          <m:rPr>
            <m:sty m:val="p"/>
          </m:rPr>
          <m:t>,</m:t>
        </m:r>
        <m:r>
          <m:t>061</m:t>
        </m:r>
      </m:oMath>
      <w:r>
        <w:t xml:space="preserve">, và mô hình lựa chọn ba tham số Vevea-Hedges cho</w:t>
      </w:r>
      <w:r>
        <w:t xml:space="preserve"> </w:t>
      </w:r>
      <m:oMath>
        <m:sSub>
          <m:e>
            <m:r>
              <m:t>r</m:t>
            </m:r>
          </m:e>
          <m:sub>
            <m:r>
              <m:rPr>
                <m:nor/>
                <m:sty m:val="p"/>
              </m:rPr>
              <m:t>adj</m:t>
            </m:r>
          </m:sub>
        </m:sSub>
        <m:r>
          <m:rPr>
            <m:sty m:val="p"/>
          </m:rPr>
          <m:t>=</m:t>
        </m:r>
        <m:r>
          <m:t>0</m:t>
        </m:r>
        <m:r>
          <m:rPr>
            <m:sty m:val="p"/>
          </m:rPr>
          <m:t>,</m:t>
        </m:r>
        <m:r>
          <m:t>077</m:t>
        </m:r>
      </m:oMath>
      <w:r>
        <w:t xml:space="preserve"> </w:t>
      </w:r>
      <w:r>
        <w:t xml:space="preserve">(bảo thủ nhất). Khoảng hiệu chỉnh</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w:t>
      </w:r>
      <w:r>
        <w:t xml:space="preserve">hàm ý quan hệ I-P trung bình được báo cáo suốt bốn thập kỷ có thể đã bị thổi phồng đáng kể,</w:t>
      </w:r>
      <w:r>
        <w:t xml:space="preserve"> </w:t>
      </w:r>
      <w:r>
        <w:rPr>
          <w:iCs/>
          <w:i/>
        </w:rPr>
        <w:t xml:space="preserve">mức</w:t>
      </w:r>
      <w:r>
        <w:t xml:space="preserve"> </w:t>
      </w:r>
      <w:r>
        <w:t xml:space="preserve">thổi phồng tùy giả định selection-process. Bằng chứng selection thực sự tồn tại được củng cố vững chắc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và mô hình Vevea-Hedges LRT bác bỏ giả thuyết không-selection (</w:t>
      </w:r>
      <m:oMath>
        <m:sSup>
          <m:e>
            <m:r>
              <m:t>χ</m:t>
            </m:r>
          </m:e>
          <m:sup>
            <m:r>
              <m:t>2</m:t>
            </m:r>
          </m:sup>
        </m:sSup>
        <m:r>
          <m:rPr>
            <m:sty m:val="p"/>
          </m:rPr>
          <m:t>=</m:t>
        </m:r>
        <m:r>
          <m:t>12</m:t>
        </m:r>
        <m:r>
          <m:rPr>
            <m:sty m:val="p"/>
          </m:rPr>
          <m:t>,</m:t>
        </m:r>
        <m:r>
          <m:t>29</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002</m:t>
        </m:r>
      </m:oMath>
      <w:r>
        <w:t xml:space="preserve">); kiểm định Egger chỉ ở mức biên (</w:t>
      </w:r>
      <m:oMath>
        <m:r>
          <m:t>p</m:t>
        </m:r>
        <m:r>
          <m:rPr>
            <m:sty m:val="p"/>
          </m:rPr>
          <m:t>=</m:t>
        </m:r>
        <m:r>
          <m:rPr>
            <m:sty m:val="p"/>
          </m:rPr>
          <m:t>,</m:t>
        </m:r>
        <m:r>
          <m:t>057</m:t>
        </m:r>
      </m:oMath>
      <w:r>
        <w:t xml:space="preserve">). Luận án trình bày khoảng bao quát này như một tín hiệu định hướng mạnh thay vì khẳng định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Marano et al. (2016) vẫn là tham chiếu nền tảng cho điều tiết thể chế trong tài liệu I-P; phát hiện của họ ở cấp tổng hợp (k = 359) chưa bị luận án này bác bỏ. Đóng góp của luận án là</w:t>
      </w:r>
      <w:r>
        <w:t xml:space="preserve"> </w:t>
      </w:r>
      <w:r>
        <w:rPr>
          <w:iCs/>
          <w:i/>
        </w:rPr>
        <w:t xml:space="preserve">bổ sung phân giải</w:t>
      </w:r>
      <w:r>
        <w:t xml:space="preserve"> </w:t>
      </w:r>
      <w:r>
        <w:t xml:space="preserve">chứ không phải lật ngược: sáu nhóm con ICRV nắm bắt được sự đa dạng ngay trong nội bộ nhóm</w:t>
      </w:r>
      <w:r>
        <w:t xml:space="preserve"> </w:t>
      </w:r>
      <w:r>
        <w:t xml:space="preserve">“</w:t>
      </w:r>
      <w:r>
        <w:t xml:space="preserve">mới nổi</w:t>
      </w:r>
      <w:r>
        <w:t xml:space="preserve">”</w:t>
      </w:r>
      <w:r>
        <w:t xml:space="preserve"> </w:t>
      </w:r>
      <w:r>
        <w:t xml:space="preserve">(phân biệt Trung Quốc với Việt Nam, Bangladesh và các nền kinh tế đảo nhỏ), đồng thời phân biệt trong nhóm</w:t>
      </w:r>
      <w:r>
        <w:t xml:space="preserve"> </w:t>
      </w:r>
      <w:r>
        <w:t xml:space="preserve">“</w:t>
      </w:r>
      <w:r>
        <w:t xml:space="preserve">tiên tiến</w:t>
      </w:r>
      <w:r>
        <w:t xml:space="preserve">”</w:t>
      </w:r>
      <w:r>
        <w:t xml:space="preserve"> </w:t>
      </w:r>
      <w:r>
        <w:t xml:space="preserve">(tách Singapore dẫn dắt bằng đổi mới khỏi các nền kinh tế vùng Vịnh dẫn dắt bằng tài nguyên). Phân loại nhị phân của Marano gộp các biến thiên này, làm mất thông tin về dải biến thiên ICRV mà luận án này phát hiện ở cấp doanh nghiệp (FSTS×ICRV và FSTS²×ICRV, p &lt;,001 trong phân tích đa quốc gia). Đáng chú ý, ở cấp meta-analytic của riêng luận án, omnibus ICRV lại</w:t>
      </w:r>
      <w:r>
        <w:t xml:space="preserve"> </w:t>
      </w:r>
      <w:r>
        <w:rPr>
          <w:bCs/>
          <w:b/>
        </w:rPr>
        <w:t xml:space="preserve">không bền vững</w:t>
      </w:r>
      <w:r>
        <w:t xml:space="preserve"> </w:t>
      </w:r>
      <w:r>
        <w:t xml:space="preserve">(bỏ ô Frontier; sau đó</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nghĩa là phân loại sáu chế độ chưa làm tăng độ phát hiện điều tiết ở cấp văn liệu so với phân loại nhị phân; lợi ích của ICRV chủ yếu nằm ở phân tích cấp doanh nghiệp.</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e11ed3cb35243ecfe6b42fdec73f61db3ecc52a"/>
    <w:p>
      <w:pPr>
        <w:pStyle w:val="Heading3"/>
      </w:pPr>
      <w:r>
        <w:t xml:space="preserve">5.3.2 FIP, Điều kiện biên cho SIDS có nền tảng SIDS literature</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w:t>
      </w:r>
      <w:r>
        <w:t xml:space="preserve">như một điều kiện biên rõ ràng cho mô hình chữ U ngược I-P, nối tiếp dòng nghiên cứu nền tảng SIDS của Briguglio (1995) và mô hình MIRAB của Bertram (2006). Khái niệm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 Đóng góp tăng thêm của luận án so với SIDS literature trước là (i) chính thức kết nối ba ràng buộc SIDS với dấu của hệ số FSTS trong hồi quy I-P ở cấp doanh nghiệp, (ii) cung cấp ước lượng định lượng đầu tiên (β = −0,404, p =,032) trên dữ liệu WBES, (iii) đặt FIP làm điều kiện biên rõ ràng cho lý thuyết I-P phi tuyến.</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87</m:t>
        </m:r>
        <m:r>
          <m:rPr>
            <m:sty m:val="p"/>
          </m:rPr>
          <m:t>,</m:t>
        </m:r>
        <m:r>
          <m:t>8</m:t>
        </m:r>
        <m:r>
          <m:rPr>
            <m:sty m:val="p"/>
          </m:rPr>
          <m:t>%</m:t>
        </m:r>
      </m:oMath>
      <w:r>
        <w:t xml:space="preserve"> </w:t>
      </w:r>
      <w:r>
        <w:t xml:space="preserve">(76,1% ở tầng 2 và 11,8%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vững chắc ở cấp doanh nghiệp qua tương tác có điều kiện. Đồng thời, luận án bao quát mức điều chỉnh do thiên lệch công bố trong khoảng r ∈ [0,035; 0,077] qua sáu kiểm định (trim-and-fill mạnh nhất; PET-PEESE; Vevea-Hedges bảo thủ nhất, LRT p = 0,002), gợi mở một câu hỏi nền tảng cho cả tài liệu: nếu bốn thập kỷ bằng chứng I-P bị thổi phồng (mức độ tùy phương pháp hiệu chỉnh) bởi chọn lọc công bố, thì hiệu ứng quần thể thực có thể nằm gần hoặc dưới ngưỡng Cohen</w:t>
      </w:r>
      <w:r>
        <w:t xml:space="preserve"> </w:t>
      </w:r>
      <w:r>
        <w:t xml:space="preserve">“</w:t>
      </w:r>
      <w:r>
        <w:t xml:space="preserve">nhỏ</w:t>
      </w:r>
      <w:r>
        <w:t xml:space="preserve">”</w:t>
      </w:r>
      <w:r>
        <w:t xml:space="preserve"> </w:t>
      </w:r>
      <w:r>
        <w:t xml:space="preserve">và đòi hỏi cỡ mẫu lớn hơn nhiều để phát hiện vai trò điều tiết một cách vững chắc. Luận án ghi nhận nghịch lý này mà không khẳng định đã giải quyết được nó; đây là cam kết chương trình nghiên cứu vượt khuôn khổ một luận án đơn lẻ. Với dòng nghiên cứu về năng lực số, luận án làm rõ rằng DAI là nguồn lực tình huống chứ không phải năng lực nền tảng. Và với dòng nghiên cứu về quốc tế hóa và các nền kinh tế đảo nhỏ, luận án đóng góp ước lượng định lượng đầu tiên cho FIP trên dữ liệu WBES SIDS, nối tiếp dòng nghiên cứu SIDS nền tảng (Briguglio, 1995; Bertram, 2006).</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2026-06-03T03:52:04Z</dcterms:created>
  <dcterms:modified xsi:type="dcterms:W3CDTF">2026-06-03T03:52:04Z</dcterms:modified>
</cp:coreProperties>
</file>

<file path=docProps/custom.xml><?xml version="1.0" encoding="utf-8"?>
<Properties xmlns="http://schemas.openxmlformats.org/officeDocument/2006/custom-properties" xmlns:vt="http://schemas.openxmlformats.org/officeDocument/2006/docPropsVTypes"/>
</file>