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46.png" ContentType="image/png"/>
  <Override PartName="/word/media/rId49.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Submitted to: Journal of Economics and Development (JED), National Economics University /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TCI and DAI interactions with FSTS).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rPr>
          <w:bCs/>
          <w:b/>
        </w:rPr>
        <w:t xml:space="preserve">Design/methodology/approach:</w:t>
      </w:r>
      <w:r>
        <w:t xml:space="preserve"> </w:t>
      </w:r>
      <w:r>
        <w:t xml:space="preserve">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rPr>
          <w:bCs/>
          <w:b/>
        </w:rPr>
        <w:t xml:space="preserve">Findings:</w:t>
      </w:r>
      <w:r>
        <w:t xml:space="preserve"> </w:t>
      </w:r>
      <w:r>
        <w:t xml:space="preserve">An inverted-U between export intensity and labour productivity holds across all three waves, with turning points clustered between 39% and 46%, a durable band over 14 years. The nonlinearity reflects a participation-margin effect: on exporters only, the quadratic term loses significance. TCI positively moderates productivity and the I–P curvature across waves. The website indicator follows a proxy-obsolescence trajectory: positive in 2009, null in 2015, negatively interactive in 2023.</w:t>
      </w:r>
    </w:p>
    <w:p>
      <w:pPr>
        <w:pStyle w:val="BodyText"/>
      </w:pPr>
      <w:r>
        <w:rPr>
          <w:bCs/>
          <w:b/>
        </w:rPr>
        <w:t xml:space="preserve">Originality/value:</w:t>
      </w:r>
      <w:r>
        <w:t xml:space="preserve"> </w:t>
      </w:r>
      <w:r>
        <w:t xml:space="preserve">The inverted-U in this zero-inflated setting reflects a participation-barrier effect rather than intensity saturation; pooled Tier-1 coefficients mask progressive proxy obsolescence. The institutionally embedded turning-point cluster (39–46% FSTS) shifts the debate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O33, D22, L25, O53.</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roughly half of firms (49.8 % in 2023 vs 42.5 % in 2009), not as evidence on dynamic digital capability moderation.</w:t>
      </w:r>
    </w:p>
    <w:bookmarkEnd w:id="21"/>
    <w:bookmarkStart w:id="26" w:name="Xe3d0fc0bea9a42ce7605565d0964033d7f6ee47"/>
    <w:p>
      <w:pPr>
        <w:pStyle w:val="Heading2"/>
      </w:pPr>
      <w:r>
        <w:t xml:space="preserve">1. Introduction</w:t>
      </w:r>
    </w:p>
    <w:bookmarkStart w:id="22"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 Digital tools can reduce 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2"/>
    <w:bookmarkStart w:id="23" w:name="X2961a496af63dca26d6e29b654ead2e696c6fdd"/>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find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at 45.8% of total trade value, displacing the historically dominant textiles cluster, reflecting a structural upgrade in production capability that proceeded in parallel with the three survey waves (World Bank, 2025c).</w:t>
      </w:r>
    </w:p>
    <w:bookmarkEnd w:id="23"/>
    <w:bookmarkStart w:id="24" w:name="X494b14dde48fd709c427dcfac91526fdde5ec7e"/>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suggests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cross-wave, stage-dependency interpretation of digital internationalisation. Because the WBES data are repeated cross-sections rather than a firm panel, within-firm trajectories cannot be directly observed; the cross-wave evidence nonetheless suggests that digital capability is neither a universally stable premium nor a uniformly ineffective resource. Instead, it appears as an uneven and snapshot-contingent source of performance heterogeneity across institutional phases. This perspective helps explain why pooled average effects may coexist with substantial wave-specific differences.</w:t>
      </w:r>
    </w:p>
    <w:p>
      <w:pPr>
        <w:pStyle w:val="BodyText"/>
      </w:pPr>
      <w:r>
        <w:t xml:space="preserve">A fourth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where institutional, capability, and sunk-cost barriers bind hardest in a transitional economy,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4"/>
    <w:bookmarkStart w:id="25" w:name="Xdd618d9602139b0eee88c4277e195c55d104c48"/>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4" w:name="X8bf20a63f0decf7b16e99d564b9958ec4fbbb23"/>
    <w:p>
      <w:pPr>
        <w:pStyle w:val="Heading2"/>
      </w:pPr>
      <w:r>
        <w:t xml:space="preserve">2. Theory and hypotheses</w:t>
      </w:r>
    </w:p>
    <w:bookmarkStart w:id="27" w:name="X475e56b016e644d98a8e16bb390e9ef0dd93722"/>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7"/>
    <w:bookmarkStart w:id="28"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28"/>
    <w:bookmarkStart w:id="29" w:name="X02827d6cc0af65ac39b2d56f2f17672268c2f6b"/>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Given that DAI_z reduces to a single binary item, c22b (own-website presence),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 DAI_z is not advanced as a primary hypothesis in this study, no H3 is formulated in the present paper. The exploratory digital moderation probe that follows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bookmarkEnd w:id="29"/>
    <w:bookmarkStart w:id="33"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broadens toward a level near half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BodyText"/>
      </w:pPr>
      <w:r>
        <w:drawing>
          <wp:inline>
            <wp:extent cx="5753100" cy="3160501"/>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figure_1_conceptual_model.png" id="32" name="Picture"/>
                    <pic:cNvPicPr>
                      <a:picLocks noChangeArrowheads="1" noChangeAspect="1"/>
                    </pic:cNvPicPr>
                  </pic:nvPicPr>
                  <pic:blipFill>
                    <a:blip r:embed="rId30"/>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internationalisation intensity (FSTS, centred FSTS_c and FSTS_c²), is placed at left; the dependent variable, firm performance, measured as ln(labour productivity) = ln(annual revenue PPP / permanent workers), is placed at right, following left-to-right causal flow convention. H1 (inverted-U nonlinearity: β₁ &gt; 0, β₂ &lt; 0) is grounded in the Uppsala model (Johanson and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and Dhanaraj, 2019); measurement constraint acknowledged,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Nhóm IV (Lower_mid_transition, ICRV Group 4 of 6; lower-middle-income transition economy; WGI Rule of Law ≈ −0.09 in 2023, World Bank). Data: WBES 2009, 2015, 2023; N = 2,958 (pooled), n_wave = 989/956/1,013.</w:t>
      </w:r>
    </w:p>
    <w:bookmarkEnd w:id="33"/>
    <w:bookmarkEnd w:id="34"/>
    <w:bookmarkStart w:id="40" w:name="Xfd2f05febb90fd7f58b14547dd9b33901f267a5"/>
    <w:p>
      <w:pPr>
        <w:pStyle w:val="Heading2"/>
      </w:pPr>
      <w:r>
        <w:t xml:space="preserve">3. Data, variables, and empirical strategy</w:t>
      </w:r>
    </w:p>
    <w:bookmarkStart w:id="35"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5"/>
    <w:bookmarkStart w:id="36"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(namely 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 DAI_rich robustness extension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 0). c22b is recoded similarly (1 = has website; 2 →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989,956, and 1,013 observations for 2009, 2015,</w:t>
      </w:r>
      <w:r>
        <w:t xml:space="preserve"> </w:t>
      </w:r>
      <w:r>
        <w:t xml:space="preserve">and 2023 respectively; pooled N is 2,958.</w:t>
      </w:r>
    </w:p>
    <w:bookmarkEnd w:id="36"/>
    <w:bookmarkStart w:id="37"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Baseline controls:</w:t>
      </w:r>
      <w:r>
        <w:t xml:space="preserve"> </w:t>
      </w:r>
      <w:r>
        <w:t xml:space="preserve">lnLP_it = α + γ₁ lnEmp_it + γ₂ FirmAge_it + γ₃ ForeignOwned_it + δ_s + [λ_t] + ε_it</w:t>
      </w:r>
    </w:p>
    <w:p>
      <w:pPr>
        <w:pStyle w:val="BodyText"/>
      </w:pPr>
      <w:r>
        <w:rPr>
          <w:bCs/>
          <w:b/>
        </w:rPr>
        <w:t xml:space="preserve">M1,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7"/>
    <w:bookmarkStart w:id="38"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productivity, financial resilience, managerial quality,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38"/>
    <w:bookmarkStart w:id="39"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9"/>
    <w:bookmarkEnd w:id="40"/>
    <w:bookmarkStart w:id="63"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2"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41">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instead, the instrument has lost its discriminatory power as Tier 1 adoption has diffused to roughly half of firms (49.8% in 2023 vs 42.5% in 2009). The DAI_rich composite (Tier 1+2;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 0.128 → 0.123) but with moderation</w:t>
      </w:r>
    </w:p>
    <w:p>
      <w:pPr>
        <w:pStyle w:val="BodyText"/>
      </w:pPr>
      <w:r>
        <w:t xml:space="preserve">that survives in the 2009, 2023 and pooled panels. Website-based digital presence follows a nonmonotonic trajectory, strong in 2009 (β = 0.175 ***), null in 2015 (β = -0.044 n.s.), and</w:t>
      </w:r>
      <w:r>
        <w:t xml:space="preserve"> </w:t>
      </w:r>
      <w:r>
        <w:t xml:space="preserve">re-emerging in 2023 (β = 0.095 *), and its moderation channel materialises only in 2023.</w:t>
      </w:r>
      <w:r>
        <w:t xml:space="preserve"> </w:t>
      </w:r>
      <w:r>
        <w:t xml:space="preserve">The Paternoster cross-wave z-tests reported in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2"/>
    <w:bookmarkStart w:id="55" w:name="Xaa4851a9c1b3e08eeca0ab72ae930e2b05bff75"/>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3835399"/>
            <wp:effectExtent b="0" l="0" r="0" t="0"/>
            <wp:docPr descr="Figure 2a: Wave 2009, predicted ln(labour productivity) vs FSTS" title="" id="44" name="Picture"/>
            <a:graphic>
              <a:graphicData uri="http://schemas.openxmlformats.org/drawingml/2006/picture">
                <pic:pic>
                  <pic:nvPicPr>
                    <pic:cNvPr descr="figures/figure_2a.png" id="45" name="Picture"/>
                    <pic:cNvPicPr>
                      <a:picLocks noChangeArrowheads="1" noChangeAspect="1"/>
                    </pic:cNvPicPr>
                  </pic:nvPicPr>
                  <pic:blipFill>
                    <a:blip r:embed="rId43"/>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drawing>
          <wp:inline>
            <wp:extent cx="5753100" cy="3835399"/>
            <wp:effectExtent b="0" l="0" r="0" t="0"/>
            <wp:docPr descr="Figure 2b: Wave 2015, predicted ln(labour productivity) vs FSTS" title="" id="47" name="Picture"/>
            <a:graphic>
              <a:graphicData uri="http://schemas.openxmlformats.org/drawingml/2006/picture">
                <pic:pic>
                  <pic:nvPicPr>
                    <pic:cNvPr descr="figures/figure_2b.png" id="48" name="Picture"/>
                    <pic:cNvPicPr>
                      <a:picLocks noChangeArrowheads="1" noChangeAspect="1"/>
                    </pic:cNvPicPr>
                  </pic:nvPicPr>
                  <pic:blipFill>
                    <a:blip r:embed="rId4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drawing>
          <wp:inline>
            <wp:extent cx="5753100" cy="3835399"/>
            <wp:effectExtent b="0" l="0" r="0" t="0"/>
            <wp:docPr descr="Figure 2c: Wave 2023, predicted ln(labour productivity) vs FSTS" title="" id="50" name="Picture"/>
            <a:graphic>
              <a:graphicData uri="http://schemas.openxmlformats.org/drawingml/2006/picture">
                <pic:pic>
                  <pic:nvPicPr>
                    <pic:cNvPr descr="figures/figure_2c.png" id="51" name="Picture"/>
                    <pic:cNvPicPr>
                      <a:picLocks noChangeArrowheads="1" noChangeAspect="1"/>
                    </pic:cNvPicPr>
                  </pic:nvPicPr>
                  <pic:blipFill>
                    <a:blip r:embed="rId49"/>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drawing>
          <wp:inline>
            <wp:extent cx="5753100" cy="3835399"/>
            <wp:effectExtent b="0" l="0" r="0" t="0"/>
            <wp:docPr descr="Figure 2d: Pooled (2009+2015+2023), predicted ln(labour productivity) vs FSTS" title="" id="53" name="Picture"/>
            <a:graphic>
              <a:graphicData uri="http://schemas.openxmlformats.org/drawingml/2006/picture">
                <pic:pic>
                  <pic:nvPicPr>
                    <pic:cNvPr descr="figures/figure_2d.png" id="54" name="Picture"/>
                    <pic:cNvPicPr>
                      <a:picLocks noChangeArrowheads="1" noChangeAspect="1"/>
                    </pic:cNvPicPr>
                  </pic:nvPicPr>
                  <pic:blipFill>
                    <a:blip r:embed="rId52"/>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5"/>
    <w:bookmarkStart w:id="59"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coordination capacity, contract enforcement, and trade-finance access, that change more slowly than the wider operating environment. This within-WBES cross-wave evidence complements the institutional-context channel identified in meta-analyses of the I–P relationship (Wu</w:t>
      </w:r>
      <w:r>
        <w:t xml:space="preserve"> </w:t>
      </w:r>
      <w:r>
        <w:rPr>
          <w:iCs/>
          <w:i/>
        </w:rPr>
        <w:t xml:space="preserve">et al.</w:t>
      </w:r>
      <w:r>
        <w:t xml:space="preserve">, 2022; Marano</w:t>
      </w:r>
      <w:r>
        <w:t xml:space="preserve"> </w:t>
      </w:r>
      <w:r>
        <w:rPr>
          <w:iCs/>
          <w:i/>
        </w:rPr>
        <w:t xml:space="preserve">et al.</w:t>
      </w:r>
      <w:r>
        <w:t xml:space="preserve">,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401293"/>
            <wp:effectExtent b="0" l="0" r="0" t="0"/>
            <wp:docPr descr="Figure 3: Moderator marginal effects, TCI and DAI interactions with FSTS (Vietnam)" title="" id="57" name="Picture"/>
            <a:graphic>
              <a:graphicData uri="http://schemas.openxmlformats.org/drawingml/2006/picture">
                <pic:pic>
                  <pic:nvPicPr>
                    <pic:cNvPr descr="figures/figure_3_moderator_marginals.png" id="58" name="Picture"/>
                    <pic:cNvPicPr>
                      <a:picLocks noChangeArrowheads="1" noChangeAspect="1"/>
                    </pic:cNvPicPr>
                  </pic:nvPicPr>
                  <pic:blipFill>
                    <a:blip r:embed="rId56"/>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59"/>
    <w:bookmarkStart w:id="60"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0"/>
    <w:bookmarkStart w:id="62"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2009,198 in 2015,190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1"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consistent with servicification of the economy and the gradual exit of marginal exporters,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41">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and Mehlum, 2010). Source: WBES Vietnam 2009, 2015, 2023; authors' calculations.</w:t>
      </w:r>
    </w:p>
    <w:bookmarkEnd w:id="61"/>
    <w:bookmarkEnd w:id="62"/>
    <w:bookmarkEnd w:id="63"/>
    <w:bookmarkStart w:id="69" w:name="X735612638e4e736e4693e459c258977262c0dfc"/>
    <w:p>
      <w:pPr>
        <w:pStyle w:val="Heading2"/>
      </w:pPr>
      <w:r>
        <w:t xml:space="preserve">5. Discussion</w:t>
      </w:r>
    </w:p>
    <w:p>
      <w:pPr>
        <w:pStyle w:val="FirstParagraph"/>
      </w:pPr>
      <w:r>
        <w:t xml:space="preserve">The results should first be located against the meta-analytic baseline. Wu, Fan, and Chen (2022, MIR) establish a positive average I–P relationship for emerging-market multinationals, a useful macro-level anchor, but one that aggregates across institutional contexts in which the functional form may vary substantially. Country-level heterogeneity in the I–P curve shape remains under-specified in that meta-analysis. Vietnam, as a single-party transitional economy with rapid but uneven digital infrastructure uptake, provides a critical test of whether the pooled meta-level estimate masks functional-form nonlinearity at the within-country level. The present evidence is consistent with that concern: the inverted-U is robust within Vietnam but is driven predominantly by a participation-margin step rather than by within-exporter saturation, a structure that pooling across exporters and non-exporters in cross-country meta-analyses would tend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w:t>
      </w:r>
      <w:r>
        <w:t xml:space="preserve"> </w:t>
      </w:r>
      <w:r>
        <w:rPr>
          <w:iCs/>
          <w:i/>
        </w:rPr>
        <w:t xml:space="preserve">et al.</w:t>
      </w:r>
      <w:r>
        <w:t xml:space="preserve">, 2026). This corroboration strengthens the interpretation that moderate export intensity generates genuine productivity gains in Vietnamese firms, not merely a compositional artefact of positive selection into exporting.</w:t>
      </w:r>
    </w:p>
    <w:bookmarkStart w:id="64" w:name="Xa5f80b6bc0b8dd7b33d639445ac723c1ee9ad4a"/>
    <w:p>
      <w:pPr>
        <w:pStyle w:val="Heading3"/>
      </w:pPr>
      <w:r>
        <w:t xml:space="preserve">5.1 Reinterpreting the baseline website-presence indicator in Vietnam</w:t>
      </w:r>
    </w:p>
    <w:p>
      <w:pPr>
        <w:pStyle w:val="FirstParagraph"/>
      </w:pPr>
      <w:r>
        <w:t xml:space="preserve">The central implication of the descriptive DAI_z findings is that baseline website presence in Vietnam should</w:t>
      </w:r>
      <w:r>
        <w:t xml:space="preserve"> </w:t>
      </w:r>
      <w:r>
        <w:t xml:space="preserve">not be interpreted as a universal and temporally stable productivity premium, nor as evidence on dynamic digital capability.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Within the constraint of a Tier-1 binary website indicator, the pattern is that</w:t>
      </w:r>
      <w:r>
        <w:t xml:space="preserve"> </w:t>
      </w:r>
      <w:r>
        <w:t xml:space="preserve">website ownership is not a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reveal that this tendency is not</w:t>
      </w:r>
      <w:r>
        <w:t xml:space="preserve"> </w:t>
      </w:r>
      <w:r>
        <w:t xml:space="preserve">equally strong in every phase. The value of digital capability therefore depends on where firms</w:t>
      </w:r>
      <w:r>
        <w:t xml:space="preserve"> </w:t>
      </w:r>
      <w:r>
        <w:t xml:space="preserve">stand in the broader trajectory of internationalisation and transition, as captured in repeated cross-sectional snapshots rather than within-firm longitudinal records.</w:t>
      </w:r>
    </w:p>
    <w:bookmarkEnd w:id="64"/>
    <w:bookmarkStart w:id="65"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separating foreign-technology / standards capability from a baseline website-presence indicator and for not conflating the two under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(combining c22b with electronic-payment shares k33, k38)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65"/>
    <w:bookmarkStart w:id="66"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World Bank, 2026)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 (International Telecommunication Union, 2026).</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6"/>
    <w:bookmarkStart w:id="67"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 FSTS &gt; 0) and the inverted-U turning-point band at 39–46 % FSTS. Read together, the step-function structure at the participation margin and the Tier-1 saturation of website-based digital presence imply a threshold-conditioned capital-allocation map for Vietnamese SME managers, one that translates the wave-specific coefficient patterns into stage-appropriate priorities.</w:t>
      </w:r>
    </w:p>
    <w:p>
      <w:pPr>
        <w:pStyle w:val="BodyText"/>
      </w:pPr>
      <w:r>
        <w:rPr>
          <w:iCs/>
          <w:i/>
        </w:rPr>
        <w:t xml:space="preserve">Stage 1,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foreign-licensed technology, formal quality-certification systems, process integration with foreign principals,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7"/>
    <w:bookmarkStart w:id="68" w:name="X0d482379a65faf52764848d2b168aee0725ece4"/>
    <w:p>
      <w:pPr>
        <w:pStyle w:val="Heading3"/>
      </w:pPr>
      <w:r>
        <w:t xml:space="preserve">5.5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are</w:t>
      </w:r>
      <w:r>
        <w:t xml:space="preserve"> </w:t>
      </w:r>
      <w:r>
        <w:t xml:space="preserve">more consistent with the pattern that emerges in 2023.</w:t>
      </w:r>
      <w:r>
        <w:t xml:space="preserve"> </w:t>
      </w:r>
      <w:r>
        <w:t xml:space="preserve">Third, the cross-wave comparison, which, given the repeated cross-sectional design, reflects cohort-level snapshots rather than within-firm trajectories,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w:t>
      </w:r>
      <w:r>
        <w:t xml:space="preserve"> </w:t>
      </w:r>
      <w:r>
        <w:rPr>
          <w:iCs/>
          <w:i/>
        </w:rPr>
        <w:t xml:space="preserve">et al.</w:t>
      </w:r>
      <w:r>
        <w:t xml:space="preserve">, 2026), suggesting that the ascending limb documented in the WBES microdata reflects in part the economy-wide gains from trade opening that firm-level capability investments convert into sustained productivity advantage.</w:t>
      </w:r>
    </w:p>
    <w:bookmarkEnd w:id="68"/>
    <w:bookmarkEnd w:id="69"/>
    <w:bookmarkStart w:id="70"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This design cannot identify within-firm trajectories over time, and time-invariant unobserved heterogeneity cannot be netted out at the firm level, which means causal attribution for any estimated coefficient remains unavailable.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Tier 2 electronic-payment intensity, Tier 3 ERP-linked supply-chain digitisation, or Tier 4 data-driven operations,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w:t>
      </w:r>
    </w:p>
    <w:p>
      <w:pPr>
        <w:pStyle w:val="BodyText"/>
      </w:pPr>
      <w:r>
        <w:t xml:space="preserve">The Paternoster et al.</w:t>
      </w:r>
    </w:p>
    <w:p>
      <w:pPr>
        <w:pStyle w:val="BodyText"/>
      </w:pPr>
      <w:r>
        <w:t xml:space="preserve">(1998)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w:t>
      </w:r>
    </w:p>
    <w:p>
      <w:pPr>
        <w:pStyle w:val="BodyText"/>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§2.1.</w:t>
      </w:r>
    </w:p>
    <w:bookmarkEnd w:id="70"/>
    <w:bookmarkStart w:id="71"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by retaining a single-item website-presence indicator only as a baseline digital-presence control. It compares pooled with wave-specific evidence across the 2009 / 2015 / 2023 WBES waves to evaluate the structural durability of the I–P threshold and the wave-level identification robustness of each capability dimension.</w:t>
      </w:r>
    </w:p>
    <w:p>
      <w:pPr>
        <w:pStyle w:val="BodyText"/>
      </w:pPr>
      <w:r>
        <w:t xml:space="preserve">The findings indicate that the internationalisation–performance relationship is non-monotonic in the full sample, that the pattern is driven primarily by a participation-and-intensity structure rather than by strong within-exporter curvature alone, and, critically, that the inverted-U turning point is structurally durable: the threshold range clusters within a narrow ~7-percentage-point band (39.3–46.2 %) across 14 years of major institutional change, including WTO accession, the Global Financial Crisis, the COVID-19 supply-chain disruption, and the diffusion of digital-payment infrastructure. This durability is consistent with deep firm-level constraints, coordination capacity, contract enforcement, and trade-finance access, that change more slowly than the wider operating environment.</w:t>
      </w:r>
    </w:p>
    <w:p>
      <w:pPr>
        <w:pStyle w:val="BodyText"/>
      </w:pPr>
      <w:r>
        <w:t xml:space="preserve">The results also suggest that technological capability and the baseline website-presence indicator should not be treated as interchangeable, and that conflating them under a single "digital adoption" or "digital transformation" 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partial Tier-1 proxy obsolescence as website ownership broadens toward roughly half the firm population in the Vietnamese firm population. Within the constraint of a single binary website indicator, this paper makes no claim about dynamic digital capability moderation; any such test awaits richer Tier 2–4 indicators not currently available cross-wave in the WBES Vietnam instrument.</w:t>
      </w:r>
    </w:p>
    <w:bookmarkEnd w:id="71"/>
    <w:bookmarkStart w:id="72" w:name="conflict-of-interest"/>
    <w:p>
      <w:pPr>
        <w:pStyle w:val="Heading2"/>
      </w:pPr>
      <w:r>
        <w:t xml:space="preserve">Conflict of interest</w:t>
      </w:r>
    </w:p>
    <w:p>
      <w:pPr>
        <w:pStyle w:val="FirstParagraph"/>
      </w:pPr>
      <w:r>
        <w:t xml:space="preserve">The authors declare no conflict of interest.</w:t>
      </w:r>
    </w:p>
    <w:bookmarkEnd w:id="72"/>
    <w:bookmarkStart w:id="73"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3"/>
    <w:bookmarkStart w:id="74"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4"/>
    <w:bookmarkStart w:id="75" w:name="ethics-statement"/>
    <w:p>
      <w:pPr>
        <w:pStyle w:val="Heading2"/>
      </w:pPr>
      <w:r>
        <w:t xml:space="preserve">Ethics statement</w:t>
      </w:r>
    </w:p>
    <w:p>
      <w:pPr>
        <w:pStyle w:val="FirstParagraph"/>
      </w:pPr>
      <w:r>
        <w:t xml:space="preserve">This study uses secondary, de-identified, firm-level data from the World Bank Enterprise Surveys. It does not involve human participants, identifiable personal data, animals, or biological samples, and therefore did not require institutional ethical approval. The research was conducted in accordance with the data-access terms of the World Bank Enterprise Surveys.</w:t>
      </w:r>
    </w:p>
    <w:bookmarkEnd w:id="75"/>
    <w:bookmarkStart w:id="76" w:name="X799c23334c5944d058eaf15944a1408ff96b683"/>
    <w:p>
      <w:pPr>
        <w:pStyle w:val="Heading2"/>
      </w:pPr>
      <w:r>
        <w:t xml:space="preserve">Use of generative AI in the writing process</w:t>
      </w:r>
    </w:p>
    <w:p>
      <w:pPr>
        <w:pStyle w:val="FirstParagraph"/>
      </w:pPr>
      <w:r>
        <w:t xml:space="preserve">In preparing this manuscript, the author(s) used Grammarly, a writing-assistance tool, to help correct spelling, grammar, and punctuation in the author(s)' own original text. No generative artificial-intelligence tool was used to generate, draft, or create any substantive content, analysis, or interpretation. All conceptual framing, hypothesis development, empirical analysis, results interpretation, and final wording were produced by the human author(s), who take full responsibility for the content of the publication.</w:t>
      </w:r>
    </w:p>
    <w:bookmarkEnd w:id="76"/>
    <w:bookmarkStart w:id="77" w:name="acknowledgements"/>
    <w:p>
      <w:pPr>
        <w:pStyle w:val="Heading2"/>
      </w:pPr>
      <w:r>
        <w:t xml:space="preserve">Acknowledgements</w:t>
      </w:r>
    </w:p>
    <w:p>
      <w:pPr>
        <w:pStyle w:val="FirstParagraph"/>
      </w:pPr>
      <w:r>
        <w:t xml:space="preserve">[Acknowledgements removed for blind review; see separately submitted Title Page.]</w:t>
      </w:r>
    </w:p>
    <w:bookmarkEnd w:id="77"/>
    <w:bookmarkStart w:id="78"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8"/>
    <w:bookmarkStart w:id="132" w:name="references"/>
    <w:p>
      <w:pPr>
        <w:pStyle w:val="Heading2"/>
      </w:pPr>
      <w:r>
        <w:t xml:space="preserve">References</w:t>
      </w:r>
    </w:p>
    <w:p>
      <w:pPr>
        <w:pStyle w:val="FirstParagraph"/>
      </w:pPr>
      <w:r>
        <w:t xml:space="preserve">Agarwal, R., Barattieri, A. and Mattoo, A. (2026), "Demand shocks, export expansion, and firm-level productivity: evidence from Vietnamese manufacturers", working paper, The World Bank, Washington, DC. [DOI pending; verify and add upon assignment before submission]</w:t>
      </w:r>
    </w:p>
    <w:p>
      <w:pPr>
        <w:pStyle w:val="BodyText"/>
      </w:pPr>
      <w:r>
        <w:t xml:space="preserve">Aguinis, H., Hill, N.S. and Bailey, J.R. (2021), "Best practices in data collection and preparation: recommendations for reviewers, editors, and authors",</w:t>
      </w:r>
      <w:r>
        <w:t xml:space="preserve"> </w:t>
      </w:r>
      <w:r>
        <w:rPr>
          <w:iCs/>
          <w:i/>
        </w:rPr>
        <w:t xml:space="preserve">Organizational Research Methods</w:t>
      </w:r>
      <w:r>
        <w:t xml:space="preserve">, Vol. 24 No. 4, pp.678-693,</w:t>
      </w:r>
      <w:r>
        <w:t xml:space="preserve"> </w:t>
      </w:r>
      <w:hyperlink r:id="rId79">
        <w:r>
          <w:rPr>
            <w:rStyle w:val="Hyperlink"/>
          </w:rPr>
          <w:t xml:space="preserve">https://doi.org/10.1177/1094428119836485</w:t>
        </w:r>
      </w:hyperlink>
    </w:p>
    <w:p>
      <w:pPr>
        <w:pStyle w:val="BodyText"/>
      </w:pPr>
      <w:r>
        <w:t xml:space="preserve">Antonakis, J., Bendahan, S., Jacquart, P. and Lalive, R. (2010), "On making causal claims: a review and recommendations",</w:t>
      </w:r>
      <w:r>
        <w:t xml:space="preserve"> </w:t>
      </w:r>
      <w:r>
        <w:rPr>
          <w:iCs/>
          <w:i/>
        </w:rPr>
        <w:t xml:space="preserve">The Leadership Quarterly</w:t>
      </w:r>
      <w:r>
        <w:t xml:space="preserve">, Vol. 21 No. 6, pp.1086-1120,</w:t>
      </w:r>
      <w:r>
        <w:t xml:space="preserve"> </w:t>
      </w:r>
      <w:hyperlink r:id="rId80">
        <w:r>
          <w:rPr>
            <w:rStyle w:val="Hyperlink"/>
          </w:rPr>
          <w:t xml:space="preserve">https://doi.org/10.1016/j.leaqua.2010.10.010</w:t>
        </w:r>
      </w:hyperlink>
    </w:p>
    <w:p>
      <w:pPr>
        <w:pStyle w:val="BodyText"/>
      </w:pPr>
      <w:r>
        <w:t xml:space="preserve">Banalieva, E.R. and Dhanaraj, C. (2019), "Internalization theory for the digital economy",</w:t>
      </w:r>
      <w:r>
        <w:t xml:space="preserve"> </w:t>
      </w:r>
      <w:r>
        <w:rPr>
          <w:iCs/>
          <w:i/>
        </w:rPr>
        <w:t xml:space="preserve">Journal of International Business Studies</w:t>
      </w:r>
      <w:r>
        <w:t xml:space="preserve">, Vol. 50 No. 8, pp.1372-1387,</w:t>
      </w:r>
      <w:r>
        <w:t xml:space="preserve"> </w:t>
      </w:r>
      <w:hyperlink r:id="rId81">
        <w:r>
          <w:rPr>
            <w:rStyle w:val="Hyperlink"/>
          </w:rPr>
          <w:t xml:space="preserve">https://doi.org/10.1057/s41267-019-00243-7</w:t>
        </w:r>
      </w:hyperlink>
    </w:p>
    <w:p>
      <w:pPr>
        <w:pStyle w:val="BodyText"/>
      </w:pPr>
      <w:r>
        <w:t xml:space="preserve">Barattieri, A., Mattoo, A. and Signoret, J.E. (2026), "Service trade liberalization and productivity growth: micro-evidence from Vietnam, 2008-2016", working paper, The World Bank, Washington, DC. [DOI pending; verify and add upon assignment before submission]</w:t>
      </w:r>
    </w:p>
    <w:p>
      <w:pPr>
        <w:pStyle w:val="BodyText"/>
      </w:pPr>
      <w:r>
        <w:t xml:space="preserve">Barney, J. (1991), "Firm resources and sustained competitive advantage",</w:t>
      </w:r>
      <w:r>
        <w:t xml:space="preserve"> </w:t>
      </w:r>
      <w:r>
        <w:rPr>
          <w:iCs/>
          <w:i/>
        </w:rPr>
        <w:t xml:space="preserve">Journal of Management</w:t>
      </w:r>
      <w:r>
        <w:t xml:space="preserve">, Vol. 17 No. 1, pp.99-120,</w:t>
      </w:r>
      <w:r>
        <w:t xml:space="preserve"> </w:t>
      </w:r>
      <w:hyperlink r:id="rId82">
        <w:r>
          <w:rPr>
            <w:rStyle w:val="Hyperlink"/>
          </w:rPr>
          <w:t xml:space="preserve">https://doi.org/10.1177/014920639101700108</w:t>
        </w:r>
      </w:hyperlink>
    </w:p>
    <w:p>
      <w:pPr>
        <w:pStyle w:val="BodyText"/>
      </w:pPr>
      <w:r>
        <w:t xml:space="preserve">Bernard, A.B., Jensen, J.B., Redding, S.J. and Schott, P.K. (2007), "Firms in international trade",</w:t>
      </w:r>
      <w:r>
        <w:t xml:space="preserve"> </w:t>
      </w:r>
      <w:r>
        <w:rPr>
          <w:iCs/>
          <w:i/>
        </w:rPr>
        <w:t xml:space="preserve">Journal of Economic Perspectives</w:t>
      </w:r>
      <w:r>
        <w:t xml:space="preserve">, Vol. 21 No. 3, pp.105-130,</w:t>
      </w:r>
      <w:r>
        <w:t xml:space="preserve"> </w:t>
      </w:r>
      <w:hyperlink r:id="rId83">
        <w:r>
          <w:rPr>
            <w:rStyle w:val="Hyperlink"/>
          </w:rPr>
          <w:t xml:space="preserve">https://doi.org/10.1257/jep.21.3.105</w:t>
        </w:r>
      </w:hyperlink>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pp.471-482,</w:t>
      </w:r>
      <w:r>
        <w:t xml:space="preserve"> </w:t>
      </w:r>
      <w:hyperlink r:id="rId84">
        <w:r>
          <w:rPr>
            <w:rStyle w:val="Hyperlink"/>
          </w:rPr>
          <w:t xml:space="preserve">https://doi.org/10.25300/misq/2013/37:2.3</w:t>
        </w:r>
      </w:hyperlink>
    </w:p>
    <w:p>
      <w:pPr>
        <w:pStyle w:val="BodyText"/>
      </w:pPr>
      <w:r>
        <w:t xml:space="preserve">Brouthers, K.D., Geisser, K.D. and Rothlauf, F. (2016), "Explaining the internationalization of iBusiness firms",</w:t>
      </w:r>
      <w:r>
        <w:t xml:space="preserve"> </w:t>
      </w:r>
      <w:r>
        <w:rPr>
          <w:iCs/>
          <w:i/>
        </w:rPr>
        <w:t xml:space="preserve">Journal of International Business Studies</w:t>
      </w:r>
      <w:r>
        <w:t xml:space="preserve">, Vol. 47 No. 5, pp.513-534,</w:t>
      </w:r>
      <w:r>
        <w:t xml:space="preserve"> </w:t>
      </w:r>
      <w:hyperlink r:id="rId85">
        <w:r>
          <w:rPr>
            <w:rStyle w:val="Hyperlink"/>
          </w:rPr>
          <w:t xml:space="preserve">https://doi.org/10.1057/jibs.2015.20</w:t>
        </w:r>
      </w:hyperlink>
    </w:p>
    <w:p>
      <w:pPr>
        <w:pStyle w:val="BodyText"/>
      </w:pPr>
      <w:r>
        <w:t xml:space="preserve">Brynjolfsson, E., Rock, D. and Syverson, C. (2021), "The productivity J-curve: how intangibles complement general purpose technologies",</w:t>
      </w:r>
      <w:r>
        <w:t xml:space="preserve"> </w:t>
      </w:r>
      <w:r>
        <w:rPr>
          <w:iCs/>
          <w:i/>
        </w:rPr>
        <w:t xml:space="preserve">American Economic Journal: Macroeconomics</w:t>
      </w:r>
      <w:r>
        <w:t xml:space="preserve">, Vol. 13 No. 1, pp.333-372,</w:t>
      </w:r>
      <w:r>
        <w:t xml:space="preserve"> </w:t>
      </w:r>
      <w:hyperlink r:id="rId86">
        <w:r>
          <w:rPr>
            <w:rStyle w:val="Hyperlink"/>
          </w:rPr>
          <w:t xml:space="preserve">https://doi.org/10.1257/mac.20180386</w:t>
        </w:r>
      </w:hyperlink>
    </w:p>
    <w:p>
      <w:pPr>
        <w:pStyle w:val="BodyText"/>
      </w:pPr>
      <w:r>
        <w:t xml:space="preserve">Certo, S.T., Busenbark, J.R., Woo, H.-S. and Semadeni, M. (2016), "Sample selection bias and Heckman models in strategic management research",</w:t>
      </w:r>
      <w:r>
        <w:t xml:space="preserve"> </w:t>
      </w:r>
      <w:r>
        <w:rPr>
          <w:iCs/>
          <w:i/>
        </w:rPr>
        <w:t xml:space="preserve">Strategic Management Journal</w:t>
      </w:r>
      <w:r>
        <w:t xml:space="preserve">, Vol. 37 No. 13, pp.2639-2657,</w:t>
      </w:r>
      <w:r>
        <w:t xml:space="preserve"> </w:t>
      </w:r>
      <w:hyperlink r:id="rId87">
        <w:r>
          <w:rPr>
            <w:rStyle w:val="Hyperlink"/>
          </w:rPr>
          <w:t xml:space="preserve">https://doi.org/10.1002/smj.2475</w:t>
        </w:r>
      </w:hyperlink>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pp.128-152,</w:t>
      </w:r>
      <w:r>
        <w:t xml:space="preserve"> </w:t>
      </w:r>
      <w:hyperlink r:id="rId88">
        <w:r>
          <w:rPr>
            <w:rStyle w:val="Hyperlink"/>
          </w:rPr>
          <w:t xml:space="preserve">https://doi.org/10.2307/2393553</w:t>
        </w:r>
      </w:hyperlink>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pp.453-475,</w:t>
      </w:r>
      <w:r>
        <w:t xml:space="preserve"> </w:t>
      </w:r>
      <w:hyperlink r:id="rId89">
        <w:r>
          <w:rPr>
            <w:rStyle w:val="Hyperlink"/>
          </w:rPr>
          <w:t xml:space="preserve">https://doi.org/10.1007/s11575-007-0024-2</w:t>
        </w:r>
      </w:hyperlink>
    </w:p>
    <w:p>
      <w:pPr>
        <w:pStyle w:val="BodyText"/>
      </w:pPr>
      <w:r>
        <w:t xml:space="preserve">Coviello, N., Kano, L. and Liesch, P.W. (2017), "Adapting the Uppsala model to a modern world: macro-context and microfoundations",</w:t>
      </w:r>
      <w:r>
        <w:t xml:space="preserve"> </w:t>
      </w:r>
      <w:r>
        <w:rPr>
          <w:iCs/>
          <w:i/>
        </w:rPr>
        <w:t xml:space="preserve">Journal of International Business Studies</w:t>
      </w:r>
      <w:r>
        <w:t xml:space="preserve">, Vol. 48 No. 9, pp.1151-1164,</w:t>
      </w:r>
      <w:r>
        <w:t xml:space="preserve"> </w:t>
      </w:r>
      <w:hyperlink r:id="rId90">
        <w:r>
          <w:rPr>
            <w:rStyle w:val="Hyperlink"/>
          </w:rPr>
          <w:t xml:space="preserve">https://doi.org/10.1057/s41267-017-0120-x</w:t>
        </w:r>
      </w:hyperlink>
    </w:p>
    <w:p>
      <w:pPr>
        <w:pStyle w:val="BodyText"/>
      </w:pPr>
      <w:r>
        <w:t xml:space="preserve">Cuervo-Cazurra, A. and Genc, M. (2008), "Transforming disadvantages into advantages: developing-country MNEs in the least developed countries",</w:t>
      </w:r>
      <w:r>
        <w:t xml:space="preserve"> </w:t>
      </w:r>
      <w:r>
        <w:rPr>
          <w:iCs/>
          <w:i/>
        </w:rPr>
        <w:t xml:space="preserve">Journal of International Business Studies</w:t>
      </w:r>
      <w:r>
        <w:t xml:space="preserve">, Vol. 39 No. 6, pp.957-979,</w:t>
      </w:r>
      <w:r>
        <w:t xml:space="preserve"> </w:t>
      </w:r>
      <w:hyperlink r:id="rId91">
        <w:r>
          <w:rPr>
            <w:rStyle w:val="Hyperlink"/>
          </w:rPr>
          <w:t xml:space="preserve">https://doi.org/10.1057/palgrave.jibs.8400390</w:t>
        </w:r>
      </w:hyperlink>
    </w:p>
    <w:p>
      <w:pPr>
        <w:pStyle w:val="BodyText"/>
      </w:pPr>
      <w:r>
        <w:t xml:space="preserve">Eisenhardt, K.M. and Martin, J.A. (2000), "Dynamic capabilities: what are they?",</w:t>
      </w:r>
      <w:r>
        <w:t xml:space="preserve"> </w:t>
      </w:r>
      <w:r>
        <w:rPr>
          <w:iCs/>
          <w:i/>
        </w:rPr>
        <w:t xml:space="preserve">Strategic Management Journal</w:t>
      </w:r>
      <w:r>
        <w:t xml:space="preserve">, Vol. 21 No. 10-11, pp.1105-1121,</w:t>
      </w:r>
      <w:r>
        <w:t xml:space="preserve"> </w:t>
      </w:r>
      <w:hyperlink r:id="rId92">
        <w:r>
          <w:rPr>
            <w:rStyle w:val="Hyperlink"/>
          </w:rPr>
          <w:t xml:space="preserve">https://doi.org/10.1002/1097-0266(200010/11)21:10/11</w:t>
        </w:r>
      </w:hyperlink>
      <w:r>
        <w:t xml:space="preserve">&lt;1105::AID-SMJ133&gt;3.0.CO;2-E</w:t>
      </w:r>
    </w:p>
    <w:p>
      <w:pPr>
        <w:pStyle w:val="BodyText"/>
      </w:pPr>
      <w:r>
        <w:t xml:space="preserve">Goldfarb, A. and Tucker, C. (2019), "Digital economics",</w:t>
      </w:r>
      <w:r>
        <w:t xml:space="preserve"> </w:t>
      </w:r>
      <w:r>
        <w:rPr>
          <w:iCs/>
          <w:i/>
        </w:rPr>
        <w:t xml:space="preserve">Journal of Economic Literature</w:t>
      </w:r>
      <w:r>
        <w:t xml:space="preserve">, Vol. 57 No. 1, pp.3-43,</w:t>
      </w:r>
      <w:r>
        <w:t xml:space="preserve"> </w:t>
      </w:r>
      <w:hyperlink r:id="rId93">
        <w:r>
          <w:rPr>
            <w:rStyle w:val="Hyperlink"/>
          </w:rPr>
          <w:t xml:space="preserve">https://doi.org/10.1257/jel.20171452</w:t>
        </w:r>
      </w:hyperlink>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pp.1177-1195,</w:t>
      </w:r>
      <w:r>
        <w:t xml:space="preserve"> </w:t>
      </w:r>
      <w:hyperlink r:id="rId94">
        <w:r>
          <w:rPr>
            <w:rStyle w:val="Hyperlink"/>
          </w:rPr>
          <w:t xml:space="preserve">https://doi.org/10.1002/smj.2399</w:t>
        </w:r>
      </w:hyperlink>
    </w:p>
    <w:p>
      <w:pPr>
        <w:pStyle w:val="BodyText"/>
      </w:pPr>
      <w:r>
        <w:t xml:space="preserve">Hanelt, A., Bohnsack, R., Marz, D. and Antunes Marante, C. (2021), "A systematic review of the literature on digital transformation: insights and implications for strategy and organizational change",</w:t>
      </w:r>
      <w:r>
        <w:t xml:space="preserve"> </w:t>
      </w:r>
      <w:r>
        <w:rPr>
          <w:iCs/>
          <w:i/>
        </w:rPr>
        <w:t xml:space="preserve">Journal of Management Studies</w:t>
      </w:r>
      <w:r>
        <w:t xml:space="preserve">, Vol. 58 No. 5, pp.1159-1197,</w:t>
      </w:r>
      <w:r>
        <w:t xml:space="preserve"> </w:t>
      </w:r>
      <w:hyperlink r:id="rId95">
        <w:r>
          <w:rPr>
            <w:rStyle w:val="Hyperlink"/>
          </w:rPr>
          <w:t xml:space="preserve">https://doi.org/10.1111/joms.12639</w:t>
        </w:r>
      </w:hyperlink>
    </w:p>
    <w:p>
      <w:pPr>
        <w:pStyle w:val="BodyText"/>
      </w:pPr>
      <w:r>
        <w:t xml:space="preserve">Heckman, J.J. (1979), "Sample selection bias as a specification error",</w:t>
      </w:r>
      <w:r>
        <w:t xml:space="preserve"> </w:t>
      </w:r>
      <w:r>
        <w:rPr>
          <w:iCs/>
          <w:i/>
        </w:rPr>
        <w:t xml:space="preserve">Econometrica</w:t>
      </w:r>
      <w:r>
        <w:t xml:space="preserve">, Vol. 47 No. 1, pp.153-161,</w:t>
      </w:r>
      <w:r>
        <w:t xml:space="preserve"> </w:t>
      </w:r>
      <w:hyperlink r:id="rId96">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pp.423-452,</w:t>
      </w:r>
      <w:r>
        <w:t xml:space="preserve"> </w:t>
      </w:r>
      <w:hyperlink r:id="rId97">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w:t>
      </w:r>
      <w:r>
        <w:t xml:space="preserve">, Vol. 1 No. 1-2, pp.135-151,</w:t>
      </w:r>
      <w:r>
        <w:t xml:space="preserve"> </w:t>
      </w:r>
      <w:hyperlink r:id="rId98">
        <w:r>
          <w:rPr>
            <w:rStyle w:val="Hyperlink"/>
          </w:rPr>
          <w:t xml:space="preserve">https://doi.org/10.1002/gsj.8</w:t>
        </w:r>
      </w:hyperlink>
    </w:p>
    <w:p>
      <w:pPr>
        <w:pStyle w:val="BodyText"/>
      </w:pPr>
      <w:r>
        <w:t xml:space="preserve">Hitt, M.A., Hoskisson, R.E. and Kim, H. (1997), "International diversification: effects on innovation and firm performance in product-diversified firms",</w:t>
      </w:r>
      <w:r>
        <w:t xml:space="preserve"> </w:t>
      </w:r>
      <w:r>
        <w:rPr>
          <w:iCs/>
          <w:i/>
        </w:rPr>
        <w:t xml:space="preserve">Academy of Management Journal</w:t>
      </w:r>
      <w:r>
        <w:t xml:space="preserve">, Vol. 40 No. 4, pp.767-798,</w:t>
      </w:r>
      <w:r>
        <w:t xml:space="preserve"> </w:t>
      </w:r>
      <w:hyperlink r:id="rId99">
        <w:r>
          <w:rPr>
            <w:rStyle w:val="Hyperlink"/>
          </w:rPr>
          <w:t xml:space="preserve">https://doi.org/10.2307/256948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available at:</w:t>
      </w:r>
      <w:r>
        <w:t xml:space="preserve"> </w:t>
      </w:r>
      <w:hyperlink r:id="rId100">
        <w:r>
          <w:rPr>
            <w:rStyle w:val="Hyperlink"/>
          </w:rPr>
          <w:t xml:space="preserve">https://www.itu.int/en/ITU-D/Statistics/Pages/publications/wtid.aspx</w:t>
        </w:r>
      </w:hyperlink>
      <w:r>
        <w:t xml:space="preserve"> </w:t>
      </w:r>
      <w:r>
        <w:t xml:space="preserve">(accessed 9 May 2026).</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pp.23-32,</w:t>
      </w:r>
      <w:r>
        <w:t xml:space="preserve"> </w:t>
      </w:r>
      <w:hyperlink r:id="rId101">
        <w:r>
          <w:rPr>
            <w:rStyle w:val="Hyperlink"/>
          </w:rPr>
          <w:t xml:space="preserve">https://doi.org/10.1057/palgrave.jibs.8490676</w:t>
        </w:r>
      </w:hyperlink>
    </w:p>
    <w:p>
      <w:pPr>
        <w:pStyle w:val="BodyText"/>
      </w:pPr>
      <w:r>
        <w:t xml:space="preserve">Johanson, J. and Vahlne, J.-E. (2009), "The Uppsala internationalization process model revisited: from liability of foreignness to liability of outsidership",</w:t>
      </w:r>
      <w:r>
        <w:t xml:space="preserve"> </w:t>
      </w:r>
      <w:r>
        <w:rPr>
          <w:iCs/>
          <w:i/>
        </w:rPr>
        <w:t xml:space="preserve">Journal of International Business Studies</w:t>
      </w:r>
      <w:r>
        <w:t xml:space="preserve">, Vol. 40 No. 9, pp.1411-1431,</w:t>
      </w:r>
      <w:r>
        <w:t xml:space="preserve"> </w:t>
      </w:r>
      <w:hyperlink r:id="rId102">
        <w:r>
          <w:rPr>
            <w:rStyle w:val="Hyperlink"/>
          </w:rPr>
          <w:t xml:space="preserve">https://doi.org/10.1057/jibs.2009.24</w:t>
        </w:r>
      </w:hyperlink>
    </w:p>
    <w:p>
      <w:pPr>
        <w:pStyle w:val="BodyText"/>
      </w:pPr>
      <w:r>
        <w:t xml:space="preserve">Karna, A., Richter, A. and Riesenkampff, E. (2016), "Revisiting the role of the environment in the capabilities-financial performance relationship: a meta-analysis",</w:t>
      </w:r>
      <w:r>
        <w:t xml:space="preserve"> </w:t>
      </w:r>
      <w:r>
        <w:rPr>
          <w:iCs/>
          <w:i/>
        </w:rPr>
        <w:t xml:space="preserve">Strategic Management Journal</w:t>
      </w:r>
      <w:r>
        <w:t xml:space="preserve">, Vol. 37 No. 6, pp.1154-1173,</w:t>
      </w:r>
      <w:r>
        <w:t xml:space="preserve"> </w:t>
      </w:r>
      <w:hyperlink r:id="rId103">
        <w:r>
          <w:rPr>
            <w:rStyle w:val="Hyperlink"/>
          </w:rPr>
          <w:t xml:space="preserve">https://doi.org/10.1002/smj.2379</w:t>
        </w:r>
      </w:hyperlink>
    </w:p>
    <w:p>
      <w:pPr>
        <w:pStyle w:val="BodyText"/>
      </w:pPr>
      <w:r>
        <w:t xml:space="preserve">Knight, G.A. and Liesch, P.W. (2016), "Internationalization: from incremental to born global",</w:t>
      </w:r>
      <w:r>
        <w:t xml:space="preserve"> </w:t>
      </w:r>
      <w:r>
        <w:rPr>
          <w:iCs/>
          <w:i/>
        </w:rPr>
        <w:t xml:space="preserve">Journal of World Business</w:t>
      </w:r>
      <w:r>
        <w:t xml:space="preserve">, Vol. 51 No. 1, pp.93-102,</w:t>
      </w:r>
      <w:r>
        <w:t xml:space="preserve"> </w:t>
      </w:r>
      <w:hyperlink r:id="rId104">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w:t>
      </w:r>
      <w:r>
        <w:t xml:space="preserve">, Vol. 20 No. 2, pp.165-186,</w:t>
      </w:r>
      <w:r>
        <w:t xml:space="preserve"> </w:t>
      </w:r>
      <w:hyperlink r:id="rId105">
        <w:r>
          <w:rPr>
            <w:rStyle w:val="Hyperlink"/>
          </w:rPr>
          <w:t xml:space="preserve">https://doi.org/10.1016/0305-750X(92)90097-F</w:t>
        </w:r>
      </w:hyperlink>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pp.109-118,</w:t>
      </w:r>
      <w:r>
        <w:t xml:space="preserve"> </w:t>
      </w:r>
      <w:hyperlink r:id="rId106">
        <w:r>
          <w:rPr>
            <w:rStyle w:val="Hyperlink"/>
          </w:rPr>
          <w:t xml:space="preserve">https://doi.org/10.1111/j.1468-0084.2009.00569.x</w:t>
        </w:r>
      </w:hyperlink>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pp.598-609,</w:t>
      </w:r>
      <w:r>
        <w:t xml:space="preserve"> </w:t>
      </w:r>
      <w:hyperlink r:id="rId107">
        <w:r>
          <w:rPr>
            <w:rStyle w:val="Hyperlink"/>
          </w:rPr>
          <w:t xml:space="preserve">https://doi.org/10.2307/20159604</w:t>
        </w:r>
      </w:hyperlink>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pp.1075-1110,</w:t>
      </w:r>
      <w:r>
        <w:t xml:space="preserve"> </w:t>
      </w:r>
      <w:hyperlink r:id="rId108">
        <w:r>
          <w:rPr>
            <w:rStyle w:val="Hyperlink"/>
          </w:rPr>
          <w:t xml:space="preserve">https://doi.org/10.1177/0149206315624963</w:t>
        </w:r>
      </w:hyperlink>
    </w:p>
    <w:p>
      <w:pPr>
        <w:pStyle w:val="BodyText"/>
      </w:pPr>
      <w:r>
        <w:t xml:space="preserve">Nambisan, S., Wright, M. and Feldman, M. (2019), "The digital transformation of innovation and entrepreneurship: progress, challenges and key themes",</w:t>
      </w:r>
      <w:r>
        <w:t xml:space="preserve"> </w:t>
      </w:r>
      <w:r>
        <w:rPr>
          <w:iCs/>
          <w:i/>
        </w:rPr>
        <w:t xml:space="preserve">Research Policy</w:t>
      </w:r>
      <w:r>
        <w:t xml:space="preserve">, Vol. 48 No. 8, p.103773,</w:t>
      </w:r>
      <w:r>
        <w:t xml:space="preserve"> </w:t>
      </w:r>
      <w:hyperlink r:id="rId109">
        <w:r>
          <w:rPr>
            <w:rStyle w:val="Hyperlink"/>
          </w:rPr>
          <w:t xml:space="preserve">https://doi.org/10.1016/j.respol.2019.03.018</w:t>
        </w:r>
      </w:hyperlink>
    </w:p>
    <w:p>
      <w:pPr>
        <w:pStyle w:val="BodyText"/>
      </w:pPr>
      <w:r>
        <w:t xml:space="preserve">Oster, E. (2019), "Unobservable selection and coefficient stability: theory and evidence",</w:t>
      </w:r>
      <w:r>
        <w:t xml:space="preserve"> </w:t>
      </w:r>
      <w:r>
        <w:rPr>
          <w:iCs/>
          <w:i/>
        </w:rPr>
        <w:t xml:space="preserve">Journal of Business &amp; Economic Statistics</w:t>
      </w:r>
      <w:r>
        <w:t xml:space="preserve">, Vol. 37 No. 2, pp.187-204,</w:t>
      </w:r>
      <w:r>
        <w:t xml:space="preserve"> </w:t>
      </w:r>
      <w:hyperlink r:id="rId110">
        <w:r>
          <w:rPr>
            <w:rStyle w:val="Hyperlink"/>
          </w:rPr>
          <w:t xml:space="preserve">https://doi.org/10.1080/07350015.2016.1227711</w:t>
        </w:r>
      </w:hyperlink>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pp.859-866,</w:t>
      </w:r>
      <w:r>
        <w:t xml:space="preserve"> </w:t>
      </w:r>
      <w:hyperlink r:id="rId111">
        <w:r>
          <w:rPr>
            <w:rStyle w:val="Hyperlink"/>
          </w:rPr>
          <w:t xml:space="preserve">https://doi.org/10.1111/j.1745-9125.1998.tb01268.x</w:t>
        </w:r>
      </w:hyperlink>
    </w:p>
    <w:p>
      <w:pPr>
        <w:pStyle w:val="BodyText"/>
      </w:pPr>
      <w:r>
        <w:t xml:space="preserve">Petricevic, O. and Teece, D.J. (2019), "The structural reshaping of globalization: implications for strategic sectors, profiting from innovation, and the multinational enterprise",</w:t>
      </w:r>
      <w:r>
        <w:t xml:space="preserve"> </w:t>
      </w:r>
      <w:r>
        <w:rPr>
          <w:iCs/>
          <w:i/>
        </w:rPr>
        <w:t xml:space="preserve">Journal of International Business Studies</w:t>
      </w:r>
      <w:r>
        <w:t xml:space="preserve">, Vol. 50 No. 9, pp.1487-1512,</w:t>
      </w:r>
      <w:r>
        <w:t xml:space="preserve"> </w:t>
      </w:r>
      <w:hyperlink r:id="rId112">
        <w:r>
          <w:rPr>
            <w:rStyle w:val="Hyperlink"/>
          </w:rPr>
          <w:t xml:space="preserve">https://doi.org/10.1057/s41267-019-00269-x</w:t>
        </w:r>
      </w:hyperlink>
    </w:p>
    <w:p>
      <w:pPr>
        <w:pStyle w:val="BodyText"/>
      </w:pPr>
      <w:r>
        <w:t xml:space="preserve">Pisani, N., Garcia-Bernardo, J. and Heemskerk, E. (2020), "Does it pay to be a multinational? A large-sample, cross-national replication assessing the multinationality-performance relationship",</w:t>
      </w:r>
      <w:r>
        <w:t xml:space="preserve"> </w:t>
      </w:r>
      <w:r>
        <w:rPr>
          <w:iCs/>
          <w:i/>
        </w:rPr>
        <w:t xml:space="preserve">Strategic Management Journal</w:t>
      </w:r>
      <w:r>
        <w:t xml:space="preserve">, Vol. 41 No. 1, pp.152-172,</w:t>
      </w:r>
      <w:r>
        <w:t xml:space="preserve"> </w:t>
      </w:r>
      <w:hyperlink r:id="rId113">
        <w:r>
          <w:rPr>
            <w:rStyle w:val="Hyperlink"/>
          </w:rPr>
          <w:t xml:space="preserve">https://doi.org/10.1002/smj.3087</w:t>
        </w:r>
      </w:hyperlink>
    </w:p>
    <w:p>
      <w:pPr>
        <w:pStyle w:val="BodyText"/>
      </w:pPr>
      <w:r>
        <w:t xml:space="preserve">Prime Minister of Vietnam (2020), "Decision No. 749/QD-TTg approving the 'National Digital Transformation Programme by 2025, with orientations towards 2030'", available at:</w:t>
      </w:r>
      <w:r>
        <w:t xml:space="preserve"> </w:t>
      </w:r>
      <w:hyperlink r:id="rId114">
        <w:r>
          <w:rPr>
            <w:rStyle w:val="Hyperlink"/>
          </w:rPr>
          <w:t xml:space="preserve">https://english.luatvietnam.vn/decision-no-749-qd-ttg-on-approving-the-national-digital-transformation-program-until-2025-with-a-vision-184241-doc1.html</w:t>
        </w:r>
      </w:hyperlink>
      <w:r>
        <w:t xml:space="preserve"> </w:t>
      </w:r>
      <w:r>
        <w:t xml:space="preserve">(accessed 9 May 2026).</w:t>
      </w:r>
    </w:p>
    <w:p>
      <w:pPr>
        <w:pStyle w:val="BodyText"/>
      </w:pPr>
      <w:r>
        <w:t xml:space="preserve">Shaver, J.M. (2020), "Causal identification through a cumulative body of research in the study of strategy and organizations",</w:t>
      </w:r>
      <w:r>
        <w:t xml:space="preserve"> </w:t>
      </w:r>
      <w:r>
        <w:rPr>
          <w:iCs/>
          <w:i/>
        </w:rPr>
        <w:t xml:space="preserve">Journal of Management</w:t>
      </w:r>
      <w:r>
        <w:t xml:space="preserve">, Vol. 46 No. 7, pp.1244-1256,</w:t>
      </w:r>
      <w:r>
        <w:t xml:space="preserve"> </w:t>
      </w:r>
      <w:hyperlink r:id="rId115">
        <w:r>
          <w:rPr>
            <w:rStyle w:val="Hyperlink"/>
          </w:rPr>
          <w:t xml:space="preserve">https://doi.org/10.1177/0149206319846272</w:t>
        </w:r>
      </w:hyperlink>
    </w:p>
    <w:p>
      <w:pPr>
        <w:pStyle w:val="BodyText"/>
      </w:pPr>
      <w:r>
        <w:t xml:space="preserve">Staiger, D. and Stock, J.H. (1997), "Instrumental variables regression with weak instruments",</w:t>
      </w:r>
      <w:r>
        <w:t xml:space="preserve"> </w:t>
      </w:r>
      <w:r>
        <w:rPr>
          <w:iCs/>
          <w:i/>
        </w:rPr>
        <w:t xml:space="preserve">Econometrica</w:t>
      </w:r>
      <w:r>
        <w:t xml:space="preserve">, Vol. 65 No. 3, pp.557-586,</w:t>
      </w:r>
      <w:r>
        <w:t xml:space="preserve"> </w:t>
      </w:r>
      <w:hyperlink r:id="rId116">
        <w:r>
          <w:rPr>
            <w:rStyle w:val="Hyperlink"/>
          </w:rPr>
          <w:t xml:space="preserve">https://doi.org/10.2307/2171753</w:t>
        </w:r>
      </w:hyperlink>
    </w:p>
    <w:p>
      <w:pPr>
        <w:pStyle w:val="BodyText"/>
      </w:pPr>
      <w:r>
        <w:t xml:space="preserve">Stallkamp, M. and Schotter, A.P.J. (2021), "Platforms without borders? The international strategies of digital platform firms",</w:t>
      </w:r>
      <w:r>
        <w:t xml:space="preserve"> </w:t>
      </w:r>
      <w:r>
        <w:rPr>
          <w:iCs/>
          <w:i/>
        </w:rPr>
        <w:t xml:space="preserve">Global Strategy Journal</w:t>
      </w:r>
      <w:r>
        <w:t xml:space="preserve">, Vol. 11 No. 1, pp.58-80,</w:t>
      </w:r>
      <w:r>
        <w:t xml:space="preserve"> </w:t>
      </w:r>
      <w:hyperlink r:id="rId117">
        <w:r>
          <w:rPr>
            <w:rStyle w:val="Hyperlink"/>
          </w:rPr>
          <w:t xml:space="preserve">https://doi.org/10.1002/gsj.1336</w:t>
        </w:r>
      </w:hyperlink>
    </w:p>
    <w:p>
      <w:pPr>
        <w:pStyle w:val="BodyText"/>
      </w:pPr>
      <w:r>
        <w:t xml:space="preserve">Strange, R. and Zucchella, A. (2017), "Industry 4.0, global value chains and international business",</w:t>
      </w:r>
      <w:r>
        <w:t xml:space="preserve"> </w:t>
      </w:r>
      <w:r>
        <w:rPr>
          <w:iCs/>
          <w:i/>
        </w:rPr>
        <w:t xml:space="preserve">Multinational Business Review</w:t>
      </w:r>
      <w:r>
        <w:t xml:space="preserve">, Vol. 25 No. 3, pp.174-184,</w:t>
      </w:r>
      <w:r>
        <w:t xml:space="preserve"> </w:t>
      </w:r>
      <w:hyperlink r:id="rId118">
        <w:r>
          <w:rPr>
            <w:rStyle w:val="Hyperlink"/>
          </w:rPr>
          <w:t xml:space="preserve">https://doi.org/10.1108/MBR-05-2017-0028</w:t>
        </w:r>
      </w:hyperlink>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pp.1319-1350,</w:t>
      </w:r>
      <w:r>
        <w:t xml:space="preserve"> </w:t>
      </w:r>
      <w:hyperlink r:id="rId119">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w:t>
      </w:r>
      <w:r>
        <w:t xml:space="preserve">, Vol. 10 No. 2, pp.239-250,</w:t>
      </w:r>
      <w:r>
        <w:t xml:space="preserve"> </w:t>
      </w:r>
      <w:hyperlink r:id="rId120">
        <w:r>
          <w:rPr>
            <w:rStyle w:val="Hyperlink"/>
          </w:rPr>
          <w:t xml:space="preserve">https://doi.org/10.1002/gsj.1375</w:t>
        </w:r>
      </w:hyperlink>
    </w:p>
    <w:p>
      <w:pPr>
        <w:pStyle w:val="BodyText"/>
      </w:pPr>
      <w:r>
        <w:t xml:space="preserve">Vahlne, J.-E. and Johanson, J. (2017), "From internationalization to evolution: the Uppsala model at 40 years",</w:t>
      </w:r>
      <w:r>
        <w:t xml:space="preserve"> </w:t>
      </w:r>
      <w:r>
        <w:rPr>
          <w:iCs/>
          <w:i/>
        </w:rPr>
        <w:t xml:space="preserve">Journal of International Business Studies</w:t>
      </w:r>
      <w:r>
        <w:t xml:space="preserve">, Vol. 48 No. 9, pp.1087-1102,</w:t>
      </w:r>
      <w:r>
        <w:t xml:space="preserve"> </w:t>
      </w:r>
      <w:hyperlink r:id="rId121">
        <w:r>
          <w:rPr>
            <w:rStyle w:val="Hyperlink"/>
          </w:rPr>
          <w:t xml:space="preserve">https://doi.org/10.1057/s41267-017-0107-7</w:t>
        </w:r>
      </w:hyperlink>
    </w:p>
    <w:p>
      <w:pPr>
        <w:pStyle w:val="BodyText"/>
      </w:pPr>
      <w:r>
        <w:t xml:space="preserve">Verhoef, P.C., Broekhuizen, T., Bart, Y., Bhattacharya, A., Dong, J.Q., Fabian, N. and Haenlein, M. (2021), "Digital transformation: a multidisciplinary reflection and research agenda",</w:t>
      </w:r>
      <w:r>
        <w:t xml:space="preserve"> </w:t>
      </w:r>
      <w:r>
        <w:rPr>
          <w:iCs/>
          <w:i/>
        </w:rPr>
        <w:t xml:space="preserve">Journal of Business Research</w:t>
      </w:r>
      <w:r>
        <w:t xml:space="preserve">, Vol. 122, pp.889-901,</w:t>
      </w:r>
      <w:r>
        <w:t xml:space="preserve"> </w:t>
      </w:r>
      <w:hyperlink r:id="rId122">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Oxford Bulletin of Economics and Statistics</w:t>
      </w:r>
      <w:r>
        <w:t xml:space="preserve">, Vol. 41 No. 4, pp.255-267,</w:t>
      </w:r>
      <w:r>
        <w:t xml:space="preserve"> </w:t>
      </w:r>
      <w:hyperlink r:id="rId123">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pp.118-144,</w:t>
      </w:r>
      <w:r>
        <w:t xml:space="preserve"> </w:t>
      </w:r>
      <w:hyperlink r:id="rId124">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w:t>
      </w:r>
      <w:r>
        <w:t xml:space="preserve">, Vol. 30 No. 1, pp.60-82,</w:t>
      </w:r>
      <w:r>
        <w:t xml:space="preserve"> </w:t>
      </w:r>
      <w:hyperlink r:id="rId125">
        <w:r>
          <w:rPr>
            <w:rStyle w:val="Hyperlink"/>
          </w:rPr>
          <w:t xml:space="preserve">https://doi.org/10.1111/j.1467-9701.2007.00872.x</w:t>
        </w:r>
      </w:hyperlink>
    </w:p>
    <w:p>
      <w:pPr>
        <w:pStyle w:val="BodyText"/>
      </w:pPr>
      <w:r>
        <w:t xml:space="preserve">Williamson, O.E. (1985),</w:t>
      </w:r>
      <w:r>
        <w:t xml:space="preserve"> </w:t>
      </w:r>
      <w:r>
        <w:rPr>
          <w:iCs/>
          <w:i/>
        </w:rPr>
        <w:t xml:space="preserve">The Economic Institutions of Capitalism</w:t>
      </w:r>
      <w:r>
        <w:t xml:space="preserve">, Free Press, New York, NY.</w:t>
      </w:r>
    </w:p>
    <w:p>
      <w:pPr>
        <w:pStyle w:val="BodyText"/>
      </w:pPr>
      <w:r>
        <w:t xml:space="preserve">Wooldridge, J.M. (2010),</w:t>
      </w:r>
      <w:r>
        <w:t xml:space="preserve"> </w:t>
      </w:r>
      <w:r>
        <w:rPr>
          <w:iCs/>
          <w:i/>
        </w:rPr>
        <w:t xml:space="preserve">Econometric Analysis of Cross Section and Panel Data</w:t>
      </w:r>
      <w:r>
        <w:t xml:space="preserve">, 2nd ed., MIT Press, Cambridge, MA.</w:t>
      </w:r>
    </w:p>
    <w:p>
      <w:pPr>
        <w:pStyle w:val="BodyText"/>
      </w:pPr>
      <w:r>
        <w:t xml:space="preserve">World Bank (2010),</w:t>
      </w:r>
      <w:r>
        <w:t xml:space="preserve"> </w:t>
      </w:r>
      <w:r>
        <w:rPr>
          <w:iCs/>
          <w:i/>
        </w:rPr>
        <w:t xml:space="preserve">Vietnam Enterprise Survey 2009: Data File</w:t>
      </w:r>
      <w:r>
        <w:t xml:space="preserve">, Enterprise Surveys, World Bank Group, available at:</w:t>
      </w:r>
      <w:r>
        <w:t xml:space="preserve"> </w:t>
      </w:r>
      <w:hyperlink r:id="rId126">
        <w:r>
          <w:rPr>
            <w:rStyle w:val="Hyperlink"/>
          </w:rPr>
          <w:t xml:space="preserve">https://www.enterprisesurveys.org/en/enterprisesurveys</w:t>
        </w:r>
      </w:hyperlink>
      <w:r>
        <w:t xml:space="preserve"> </w:t>
      </w:r>
      <w:r>
        <w:t xml:space="preserve">(accessed 9 May 2026).</w:t>
      </w:r>
    </w:p>
    <w:p>
      <w:pPr>
        <w:pStyle w:val="BodyText"/>
      </w:pPr>
      <w:r>
        <w:t xml:space="preserve">World Bank (2016),</w:t>
      </w:r>
      <w:r>
        <w:t xml:space="preserve"> </w:t>
      </w:r>
      <w:r>
        <w:rPr>
          <w:iCs/>
          <w:i/>
        </w:rPr>
        <w:t xml:space="preserve">Vietnam Enterprise Survey 2015: Data File</w:t>
      </w:r>
      <w:r>
        <w:t xml:space="preserve">, Enterprise Surveys, World Bank Group, available at:</w:t>
      </w:r>
      <w:r>
        <w:t xml:space="preserve"> </w:t>
      </w:r>
      <w:hyperlink r:id="rId126">
        <w:r>
          <w:rPr>
            <w:rStyle w:val="Hyperlink"/>
          </w:rPr>
          <w:t xml:space="preserve">https://www.enterprisesurveys.org/en/enterprisesurveys</w:t>
        </w:r>
      </w:hyperlink>
      <w:r>
        <w:t xml:space="preserve"> </w:t>
      </w:r>
      <w:r>
        <w:t xml:space="preserve">(accessed 9 May 2026).</w:t>
      </w:r>
    </w:p>
    <w:p>
      <w:pPr>
        <w:pStyle w:val="BodyText"/>
      </w:pPr>
      <w:r>
        <w:t xml:space="preserve">World Bank (2024),</w:t>
      </w:r>
      <w:r>
        <w:t xml:space="preserve"> </w:t>
      </w:r>
      <w:r>
        <w:rPr>
          <w:iCs/>
          <w:i/>
        </w:rPr>
        <w:t xml:space="preserve">Vietnam Enterprise Survey 2023: Data File</w:t>
      </w:r>
      <w:r>
        <w:t xml:space="preserve">, Enterprise Surveys, World Bank Group, available at:</w:t>
      </w:r>
      <w:r>
        <w:t xml:space="preserve"> </w:t>
      </w:r>
      <w:hyperlink r:id="rId126">
        <w:r>
          <w:rPr>
            <w:rStyle w:val="Hyperlink"/>
          </w:rPr>
          <w:t xml:space="preserve">https://www.enterprisesurveys.org/en/enterprisesurveys</w:t>
        </w:r>
      </w:hyperlink>
      <w:r>
        <w:t xml:space="preserve"> </w:t>
      </w:r>
      <w:r>
        <w:t xml:space="preserve">(accessed 9 May 2026).</w:t>
      </w:r>
    </w:p>
    <w:p>
      <w:pPr>
        <w:pStyle w:val="BodyText"/>
      </w:pPr>
      <w:r>
        <w:t xml:space="preserve">World Bank (2025b),</w:t>
      </w:r>
      <w:r>
        <w:t xml:space="preserve"> </w:t>
      </w:r>
      <w:r>
        <w:rPr>
          <w:iCs/>
          <w:i/>
        </w:rPr>
        <w:t xml:space="preserve">Viet Nam Economic Update: Nurturing High-Tech Talents</w:t>
      </w:r>
      <w:r>
        <w:t xml:space="preserve"> </w:t>
      </w:r>
      <w:r>
        <w:t xml:space="preserve">(Taking Stock, September 2025), World Bank Group, Washington, DC.</w:t>
      </w:r>
    </w:p>
    <w:p>
      <w:pPr>
        <w:pStyle w:val="BodyText"/>
      </w:pPr>
      <w:r>
        <w:t xml:space="preserve">World Bank (2025c),</w:t>
      </w:r>
      <w:r>
        <w:t xml:space="preserve"> </w:t>
      </w:r>
      <w:r>
        <w:rPr>
          <w:iCs/>
          <w:i/>
        </w:rPr>
        <w:t xml:space="preserve">Viet Nam Economy Snapshot: Finance, Competitiveness and Innovation</w:t>
      </w:r>
      <w:r>
        <w:t xml:space="preserve"> </w:t>
      </w:r>
      <w:r>
        <w:t xml:space="preserve">(Prosperity Data360), World Bank Group, available at:</w:t>
      </w:r>
      <w:r>
        <w:t xml:space="preserve"> </w:t>
      </w:r>
      <w:hyperlink r:id="rId127">
        <w:r>
          <w:rPr>
            <w:rStyle w:val="Hyperlink"/>
          </w:rPr>
          <w:t xml:space="preserve">https://www.worldbank.org/ext/en/country/vietnam</w:t>
        </w:r>
      </w:hyperlink>
      <w:r>
        <w:t xml:space="preserve"> </w:t>
      </w:r>
      <w:r>
        <w:t xml:space="preserve">(accessed 9 May 2026).</w:t>
      </w:r>
    </w:p>
    <w:p>
      <w:pPr>
        <w:pStyle w:val="BodyText"/>
      </w:pPr>
      <w:r>
        <w:t xml:space="preserve">World Bank (2026),</w:t>
      </w:r>
      <w:r>
        <w:t xml:space="preserve"> </w:t>
      </w:r>
      <w:r>
        <w:rPr>
          <w:iCs/>
          <w:i/>
        </w:rPr>
        <w:t xml:space="preserve">World Development Indicators</w:t>
      </w:r>
      <w:r>
        <w:t xml:space="preserve"> </w:t>
      </w:r>
      <w:r>
        <w:t xml:space="preserve">[data set], available at:</w:t>
      </w:r>
      <w:r>
        <w:t xml:space="preserve"> </w:t>
      </w:r>
      <w:hyperlink r:id="rId128">
        <w:r>
          <w:rPr>
            <w:rStyle w:val="Hyperlink"/>
          </w:rPr>
          <w:t xml:space="preserve">https://databank.worldbank.org/source/world-development-indicators</w:t>
        </w:r>
      </w:hyperlink>
      <w:r>
        <w:t xml:space="preserve"> </w:t>
      </w:r>
      <w:r>
        <w:t xml:space="preserve">(accessed 9 May 2026).</w:t>
      </w:r>
    </w:p>
    <w:p>
      <w:pPr>
        <w:pStyle w:val="BodyText"/>
      </w:pPr>
      <w:r>
        <w:t xml:space="preserve">Wright, M., Filatotchev, I., Hoskisson, R.E. and Peng, M.W. (2005), "Strategy research in emerging economies: challenging the conventional wisdom",</w:t>
      </w:r>
      <w:r>
        <w:t xml:space="preserve"> </w:t>
      </w:r>
      <w:r>
        <w:rPr>
          <w:iCs/>
          <w:i/>
        </w:rPr>
        <w:t xml:space="preserve">Journal of Management Studies</w:t>
      </w:r>
      <w:r>
        <w:t xml:space="preserve">, Vol. 42 No. 1, pp.1-33,</w:t>
      </w:r>
      <w:r>
        <w:t xml:space="preserve"> </w:t>
      </w:r>
      <w:hyperlink r:id="rId129">
        <w:r>
          <w:rPr>
            <w:rStyle w:val="Hyperlink"/>
          </w:rPr>
          <w:t xml:space="preserve">https://doi.org/10.1111/j.1467-6486.2005.00487.x</w:t>
        </w:r>
      </w:hyperlink>
    </w:p>
    <w:p>
      <w:pPr>
        <w:pStyle w:val="BodyText"/>
      </w:pPr>
      <w:r>
        <w:t xml:space="preserve">Wu, F., Fan, D. and Chen, L. (2022), "Untangling the internationalization-performance relationship in emerging-economy multinationals: a meta-analytic review",</w:t>
      </w:r>
      <w:r>
        <w:t xml:space="preserve"> </w:t>
      </w:r>
      <w:r>
        <w:rPr>
          <w:iCs/>
          <w:i/>
        </w:rPr>
        <w:t xml:space="preserve">Management International Review</w:t>
      </w:r>
      <w:r>
        <w:t xml:space="preserve">, Vol. 62 No. 2, pp.203-243,</w:t>
      </w:r>
      <w:r>
        <w:t xml:space="preserve"> </w:t>
      </w:r>
      <w:hyperlink r:id="rId130">
        <w:r>
          <w:rPr>
            <w:rStyle w:val="Hyperlink"/>
          </w:rPr>
          <w:t xml:space="preserve">https://doi.org/10.1007/s11575-022-00466-1</w:t>
        </w:r>
      </w:hyperlink>
    </w:p>
    <w:p>
      <w:pPr>
        <w:pStyle w:val="BodyText"/>
      </w:pPr>
      <w:r>
        <w:t xml:space="preserve">Wu, J., Wang, C., Hong, J., Piperopoulos, P. and Zhuo, S. (2016), "Internationalization and innovation performance of emerging market enterprises: the role of host-country institutional development",</w:t>
      </w:r>
      <w:r>
        <w:t xml:space="preserve"> </w:t>
      </w:r>
      <w:r>
        <w:rPr>
          <w:iCs/>
          <w:i/>
        </w:rPr>
        <w:t xml:space="preserve">Journal of World Business</w:t>
      </w:r>
      <w:r>
        <w:t xml:space="preserve">, Vol. 51 No. 2, pp.251-263,</w:t>
      </w:r>
      <w:r>
        <w:t xml:space="preserve"> </w:t>
      </w:r>
      <w:hyperlink r:id="rId131">
        <w:r>
          <w:rPr>
            <w:rStyle w:val="Hyperlink"/>
          </w:rPr>
          <w:t xml:space="preserve">https://doi.org/10.1016/j.jwb.2015.09.001</w:t>
        </w:r>
      </w:hyperlink>
    </w:p>
    <w:bookmarkEnd w:id="132"/>
    <w:bookmarkEnd w:id="13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hyperlink" Id="rId41"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2" Target="https://doi.org/10.1002/1097-0266(200010/11)21:10/11"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98"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4" Target="https://doi.org/10.1002/smj.2399" TargetMode="External" /><Relationship Type="http://schemas.openxmlformats.org/officeDocument/2006/relationships/hyperlink" Id="rId87" Target="https://doi.org/10.1002/smj.247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97" Target="https://doi.org/10.1007/s11575-007-0023-3" TargetMode="External" /><Relationship Type="http://schemas.openxmlformats.org/officeDocument/2006/relationships/hyperlink" Id="rId89"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0"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102" Target="https://doi.org/10.1057/jibs.2009.24" TargetMode="External" /><Relationship Type="http://schemas.openxmlformats.org/officeDocument/2006/relationships/hyperlink" Id="rId85" Target="https://doi.org/10.1057/jibs.2015.20" TargetMode="External" /><Relationship Type="http://schemas.openxmlformats.org/officeDocument/2006/relationships/hyperlink" Id="rId91" Target="https://doi.org/10.1057/palgrave.jibs.8400390" TargetMode="External" /><Relationship Type="http://schemas.openxmlformats.org/officeDocument/2006/relationships/hyperlink" Id="rId101" Target="https://doi.org/10.1057/palgrave.jibs.8490676" TargetMode="External" /><Relationship Type="http://schemas.openxmlformats.org/officeDocument/2006/relationships/hyperlink" Id="rId121" Target="https://doi.org/10.1057/s41267-017-0107-7" TargetMode="External" /><Relationship Type="http://schemas.openxmlformats.org/officeDocument/2006/relationships/hyperlink" Id="rId90" Target="https://doi.org/10.1057/s41267-017-0120-x" TargetMode="External" /><Relationship Type="http://schemas.openxmlformats.org/officeDocument/2006/relationships/hyperlink" Id="rId81"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5"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2" Target="https://doi.org/10.1177/014920639101700108" TargetMode="External" /><Relationship Type="http://schemas.openxmlformats.org/officeDocument/2006/relationships/hyperlink" Id="rId79" Target="https://doi.org/10.1177/1094428119836485" TargetMode="External" /><Relationship Type="http://schemas.openxmlformats.org/officeDocument/2006/relationships/hyperlink" Id="rId93" Target="https://doi.org/10.1257/jel.20171452" TargetMode="External" /><Relationship Type="http://schemas.openxmlformats.org/officeDocument/2006/relationships/hyperlink" Id="rId83" Target="https://doi.org/10.1257/jep.21.3.105" TargetMode="External" /><Relationship Type="http://schemas.openxmlformats.org/officeDocument/2006/relationships/hyperlink" Id="rId86" Target="https://doi.org/10.1257/mac.20180386" TargetMode="External" /><Relationship Type="http://schemas.openxmlformats.org/officeDocument/2006/relationships/hyperlink" Id="rId96"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88" Target="https://doi.org/10.2307/2393553" TargetMode="External" /><Relationship Type="http://schemas.openxmlformats.org/officeDocument/2006/relationships/hyperlink" Id="rId99" Target="https://doi.org/10.2307/256948" TargetMode="External" /><Relationship Type="http://schemas.openxmlformats.org/officeDocument/2006/relationships/hyperlink" Id="rId84"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0" Target="https://www.itu.int/en/ITU-D/Statistics/Pages/publications/wtid.aspx" TargetMode="External" /><Relationship Type="http://schemas.openxmlformats.org/officeDocument/2006/relationships/hyperlink" Id="rId127" Target="https://www.worldbank.org/ext/en/country/vietnam" TargetMode="External" /></Relationships>
</file>

<file path=word/_rels/footnotes.xml.rels><?xml version="1.0" encoding="UTF-8"?><Relationships xmlns="http://schemas.openxmlformats.org/package/2006/relationships"><Relationship Type="http://schemas.openxmlformats.org/officeDocument/2006/relationships/hyperlink" Id="rId41"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2" Target="https://doi.org/10.1002/1097-0266(200010/11)21:10/11"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98"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4" Target="https://doi.org/10.1002/smj.2399" TargetMode="External" /><Relationship Type="http://schemas.openxmlformats.org/officeDocument/2006/relationships/hyperlink" Id="rId87" Target="https://doi.org/10.1002/smj.247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97" Target="https://doi.org/10.1007/s11575-007-0023-3" TargetMode="External" /><Relationship Type="http://schemas.openxmlformats.org/officeDocument/2006/relationships/hyperlink" Id="rId89"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0"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102" Target="https://doi.org/10.1057/jibs.2009.24" TargetMode="External" /><Relationship Type="http://schemas.openxmlformats.org/officeDocument/2006/relationships/hyperlink" Id="rId85" Target="https://doi.org/10.1057/jibs.2015.20" TargetMode="External" /><Relationship Type="http://schemas.openxmlformats.org/officeDocument/2006/relationships/hyperlink" Id="rId91" Target="https://doi.org/10.1057/palgrave.jibs.8400390" TargetMode="External" /><Relationship Type="http://schemas.openxmlformats.org/officeDocument/2006/relationships/hyperlink" Id="rId101" Target="https://doi.org/10.1057/palgrave.jibs.8490676" TargetMode="External" /><Relationship Type="http://schemas.openxmlformats.org/officeDocument/2006/relationships/hyperlink" Id="rId121" Target="https://doi.org/10.1057/s41267-017-0107-7" TargetMode="External" /><Relationship Type="http://schemas.openxmlformats.org/officeDocument/2006/relationships/hyperlink" Id="rId90" Target="https://doi.org/10.1057/s41267-017-0120-x" TargetMode="External" /><Relationship Type="http://schemas.openxmlformats.org/officeDocument/2006/relationships/hyperlink" Id="rId81"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5"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2" Target="https://doi.org/10.1177/014920639101700108" TargetMode="External" /><Relationship Type="http://schemas.openxmlformats.org/officeDocument/2006/relationships/hyperlink" Id="rId79" Target="https://doi.org/10.1177/1094428119836485" TargetMode="External" /><Relationship Type="http://schemas.openxmlformats.org/officeDocument/2006/relationships/hyperlink" Id="rId93" Target="https://doi.org/10.1257/jel.20171452" TargetMode="External" /><Relationship Type="http://schemas.openxmlformats.org/officeDocument/2006/relationships/hyperlink" Id="rId83" Target="https://doi.org/10.1257/jep.21.3.105" TargetMode="External" /><Relationship Type="http://schemas.openxmlformats.org/officeDocument/2006/relationships/hyperlink" Id="rId86" Target="https://doi.org/10.1257/mac.20180386" TargetMode="External" /><Relationship Type="http://schemas.openxmlformats.org/officeDocument/2006/relationships/hyperlink" Id="rId96"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88" Target="https://doi.org/10.2307/2393553" TargetMode="External" /><Relationship Type="http://schemas.openxmlformats.org/officeDocument/2006/relationships/hyperlink" Id="rId99" Target="https://doi.org/10.2307/256948" TargetMode="External" /><Relationship Type="http://schemas.openxmlformats.org/officeDocument/2006/relationships/hyperlink" Id="rId84"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0" Target="https://www.itu.int/en/ITU-D/Statistics/Pages/publications/wtid.aspx" TargetMode="External" /><Relationship Type="http://schemas.openxmlformats.org/officeDocument/2006/relationships/hyperlink" Id="rId127" Target="https://www.worldbank.org/ext/en/country/vietn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2026-06-15T03:06:09Z</dcterms:created>
  <dcterms:modified xsi:type="dcterms:W3CDTF">2026-06-15T03:06:09Z</dcterms:modified>
</cp:coreProperties>
</file>

<file path=docProps/custom.xml><?xml version="1.0" encoding="utf-8"?>
<Properties xmlns="http://schemas.openxmlformats.org/officeDocument/2006/custom-properties" xmlns:vt="http://schemas.openxmlformats.org/officeDocument/2006/docPropsVTypes"/>
</file>