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 000 inhabitants; Kiribati: 121, 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 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 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(n.s.)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959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Country-level breakdowns are available in the replication archive</w:t>
      </w:r>
      <w:r>
        <w:rPr>
          <w:iCs/>
          <w:i/>
        </w:rPr>
        <w:t xml:space="preserve"> </w:t>
      </w:r>
      <w:r>
        <w:rPr>
          <w:iCs/>
          <w:i/>
        </w:rPr>
        <w:t xml:space="preserve">(</w:t>
      </w:r>
      <w:r>
        <w:rPr>
          <w:rStyle w:val="VerbatimChar"/>
        </w:rPr>
        <w:t xml:space="preserve">p8/replication/</w:t>
      </w:r>
      <w:r>
        <w:rPr>
          <w:iCs/>
          <w:i/>
        </w:rPr>
        <w:t xml:space="preserve">). Total N reflects analysis sample (non-missing 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2026-06-09T06:10:48Z</dcterms:created>
  <dcterms:modified xsi:type="dcterms:W3CDTF">2026-06-09T06:10:48Z</dcterms:modified>
</cp:coreProperties>
</file>

<file path=docProps/custom.xml><?xml version="1.0" encoding="utf-8"?>
<Properties xmlns="http://schemas.openxmlformats.org/officeDocument/2006/custom-properties" xmlns:vt="http://schemas.openxmlformats.org/officeDocument/2006/docPropsVTypes"/>
</file>