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e1057dabf7101c796f791bc61dc6101f2b6f291"/>
    <w:p>
      <w:pPr>
        <w:pStyle w:val="Heading1"/>
      </w:pPr>
      <w:r>
        <w:t xml:space="preserve">Internationalization and Firm Performance across 50 Asian and Pacific Economies: Institutional Regimes, Digital Capabilities, and Managerial Characteristics as Contingency Factors</w:t>
      </w:r>
    </w:p>
    <w:p>
      <w:pPr>
        <w:pStyle w:val="FirstParagraph"/>
      </w:pPr>
      <w:r>
        <w:rPr>
          <w:bCs/>
          <w:b/>
        </w:rPr>
        <w:t xml:space="preserve">Version:</w:t>
      </w:r>
      <w:r>
        <w:t xml:space="preserve"> </w:t>
      </w:r>
      <w:r>
        <w:t xml:space="preserve">Working manuscript (reconciled to canonical, 2026-06-13)</w:t>
      </w:r>
      <w:r>
        <w:br/>
      </w:r>
      <w:r>
        <w:rPr>
          <w:bCs/>
          <w:b/>
        </w:rPr>
        <w:t xml:space="preserve">Target journal:</w:t>
      </w:r>
      <w:r>
        <w:t xml:space="preserve"> </w:t>
      </w:r>
      <w:r>
        <w:t xml:space="preserve">International Business Review (revised from JIBS)</w:t>
      </w:r>
      <w:r>
        <w:br/>
      </w:r>
      <w:r>
        <w:rPr>
          <w:bCs/>
          <w:b/>
        </w:rPr>
        <w:t xml:space="preserve">Status:</w:t>
      </w:r>
      <w:r>
        <w:t xml:space="preserve"> </w:t>
      </w:r>
      <w:r>
        <w:t xml:space="preserve">Reconciled to the 50-economy canonical frame; numbers reproducible via</w:t>
      </w:r>
      <w:r>
        <w:t xml:space="preserve"> </w:t>
      </w:r>
      <w:r>
        <w:rPr>
          <w:rStyle w:val="VerbatimChar"/>
        </w:rPr>
        <w:t xml:space="preserve">scripts/p7_full_ladder.py</w:t>
      </w:r>
      <w:r>
        <w:t xml:space="preserve">.</w:t>
      </w:r>
    </w:p>
    <w:p>
      <w:r>
        <w:pict>
          <v:rect style="width:0;height:1.5pt" o:hralign="center" o:hrstd="t" o:hr="t"/>
        </w:pict>
      </w:r>
    </w:p>
    <w:p>
      <w:pPr>
        <w:pStyle w:val="BlockText"/>
      </w:pPr>
      <w:r>
        <w:rPr>
          <w:bCs/>
          <w:b/>
        </w:rPr>
        <w:t xml:space="preserve">Reconciliation note (2026-06-13).</w:t>
      </w:r>
      <w:r>
        <w:t xml:space="preserve"> </w:t>
      </w:r>
      <w:r>
        <w:t xml:space="preserve">This manuscript has been re-estimated on the</w:t>
      </w:r>
      <w:r>
        <w:t xml:space="preserve"> </w:t>
      </w:r>
      <w:r>
        <w:rPr>
          <w:bCs/>
          <w:b/>
        </w:rPr>
        <w:t xml:space="preserve">canonical 50-economy frame including Japan 2025</w:t>
      </w:r>
      <w:r>
        <w:t xml:space="preserve"> </w:t>
      </w:r>
      <w:r>
        <w:t xml:space="preserve">(</w:t>
      </w:r>
      <w:r>
        <w:rPr>
          <w:rStyle w:val="VerbatimChar"/>
        </w:rPr>
        <w:t xml:space="preserve">data_wbes/analysis/CANONICAL_NUMBERS.md</w:t>
      </w:r>
      <w:r>
        <w:t xml:space="preserve">):</w:t>
      </w:r>
      <w:r>
        <w:t xml:space="preserve"> </w:t>
      </w:r>
      <w:r>
        <w:t xml:space="preserve">analytic sample 88,869 firms / 50 economies / 103 country-year pairs. The full</w:t>
      </w:r>
      <w:r>
        <w:t xml:space="preserve"> </w:t>
      </w:r>
      <w:r>
        <w:t xml:space="preserve">M1–M8 ladder (this version) is reproducible via</w:t>
      </w:r>
      <w:r>
        <w:t xml:space="preserve"> </w:t>
      </w:r>
      <w:r>
        <w:rPr>
          <w:rStyle w:val="VerbatimChar"/>
        </w:rPr>
        <w:t xml:space="preserve">scripts/p7_full_ladder.py</w:t>
      </w:r>
      <w:r>
        <w:t xml:space="preserve"> </w:t>
      </w:r>
      <w:r>
        <w:t xml:space="preserve">(results in</w:t>
      </w:r>
      <w:r>
        <w:t xml:space="preserve"> </w:t>
      </w:r>
      <w:r>
        <w:rPr>
          <w:rStyle w:val="VerbatimChar"/>
        </w:rPr>
        <w:t xml:space="preserve">data_wbes/analysis/p7_full_ladder_results.md</w:t>
      </w:r>
      <w:r>
        <w:t xml:space="preserve">); the two anchors</w:t>
      </w:r>
      <w:r>
        <w:t xml:space="preserve"> </w:t>
      </w:r>
      <w:r>
        <w:t xml:space="preserve">reproduce exactly (M2 quadratic N=81,022, TP=51.5%; M4 +TCI+DAI N=79,080, TP=43.6%).</w:t>
      </w:r>
      <w:r>
        <w:t xml:space="preserve"> </w:t>
      </w:r>
      <w:r>
        <w:t xml:space="preserve">The earlier 49-economy build (M2 N=84,910, TP≈36%) is superseded. Two substantive</w:t>
      </w:r>
      <w:r>
        <w:t xml:space="preserve"> </w:t>
      </w:r>
      <w:r>
        <w:t xml:space="preserve">revisions follow from the canonical re-estimation: (i) on the canonical spec the</w:t>
      </w:r>
      <w:r>
        <w:t xml:space="preserve"> </w:t>
      </w:r>
      <w:r>
        <w:t xml:space="preserve">digital-adoption (DAI) curve-reshaping interactions are</w:t>
      </w:r>
      <w:r>
        <w:t xml:space="preserve"> </w:t>
      </w:r>
      <w:r>
        <w:rPr>
          <w:bCs/>
          <w:b/>
        </w:rPr>
        <w:t xml:space="preserve">not</w:t>
      </w:r>
      <w:r>
        <w:t xml:space="preserve"> </w:t>
      </w:r>
      <w:r>
        <w:t xml:space="preserve">significant — DAI is</w:t>
      </w:r>
      <w:r>
        <w:t xml:space="preserve"> </w:t>
      </w:r>
      <w:r>
        <w:t xml:space="preserve">a level-shifter, not a curve-reshaper — correcting the earlier draft; (ii) the</w:t>
      </w:r>
      <w:r>
        <w:t xml:space="preserve"> </w:t>
      </w:r>
      <w:r>
        <w:t xml:space="preserve">female-top-manager coefficient is</w:t>
      </w:r>
      <w:r>
        <w:t xml:space="preserve"> </w:t>
      </w:r>
      <w:r>
        <w:rPr>
          <w:bCs/>
          <w:b/>
        </w:rPr>
        <w:t xml:space="preserve">negative</w:t>
      </w:r>
      <w:r>
        <w:t xml:space="preserve"> </w:t>
      </w:r>
      <w:r>
        <w:t xml:space="preserve">(−0.104, p&lt;.001), consistent with the</w:t>
      </w:r>
      <w:r>
        <w:t xml:space="preserve"> </w:t>
      </w:r>
      <w:r>
        <w:t xml:space="preserve">rest of the dissertation (P10 Japan), not positive. Stata re-validation pending</w:t>
      </w:r>
      <w:r>
        <w:t xml:space="preserve"> </w:t>
      </w:r>
      <w:r>
        <w:t xml:space="preserve">before journal submission.</w:t>
      </w:r>
    </w:p>
    <w:p>
      <w:r>
        <w:pict>
          <v:rect style="width:0;height:1.5pt" o:hralign="center" o:hrstd="t" o:hr="t"/>
        </w:pict>
      </w:r>
    </w:p>
    <w:bookmarkStart w:id="20" w:name="abstract"/>
    <w:p>
      <w:pPr>
        <w:pStyle w:val="Heading2"/>
      </w:pPr>
      <w:r>
        <w:t xml:space="preserve">Abstract</w:t>
      </w:r>
    </w:p>
    <w:p>
      <w:pPr>
        <w:pStyle w:val="FirstParagraph"/>
      </w:pPr>
      <w:r>
        <w:t xml:space="preserve">We examine whether the internationalization–performance (I–P) relationship holds across a large and institutionally diverse set of Asian and Pacific economies and identify the conditions under which firms convert export intensity into productive performance. Using microdata from 88,869 firms across 50 economies and 103 country-year waves of the World Bank Enterprise Survey (2003–2025; including Japan's inaugural 2025 wave), spanning all six Institutional Context Regime Variation (ICRV) groups, we estimate a hierarchical sequence of models on currency-neutral labour productivity (standardised within economy-year) with two-way (economy and year) fixed effects throughout and standard errors clustered by economy. We find robust support for an inverted-U I–P relationship: the quadratic baseline (M2, N=81,022) yields a turning point of 51.5% of export sales, tightening to 43.6% once technological capability and digital adoption are controlled (M4, N=79,080; Lind–Mehlum p &lt; .001 throughout). Technological capability (TCI, +0.108) and digital adoption (DAI, +0.219) both raise the performance level, but neither significantly reshapes the pooled curve; both are level-shifters, not curve-reshapers. The curve structure is instead governed by institutional regime: estimating the turning point within each ICRV group reveals a three-zone pattern: a sharp inverted-U in the lower-middle transition regime (TP ≈ 43%), a near-linear relationship in the strongest-institution regime (turning point beyond the observable range, ≈ 80%), and dissolution of the inverted-U in the weakest regimes (Emerging ≈ 37%; the Pacific SIDS group shows no inverted-U). Female top management carries a negative coefficient (−0.104, p &lt; .001). These findings offer a parsimonious resolution to Asian I–P heterogeneity: the relationship is inverted-U in form, but it is institutional regime, not capability per se, that determines whether the inverted-U is sharp, straightened, or absent.</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(a region that accounts for over half of global manufacturing exports; UNCTAD, 2023), the evidence is especially fragmented: prior studies report positive relationships (Pangarkar, 2008; Korea), inverted-U curves (Chiao et al., 2006; Taiwan), or null and negative effects (Mondal et al., 2022; India). The standard explanation invokes context as a moderator (Marano et al., 2016; Kirca et al., 2012), but empirical tests simultaneously across institutionally diverse Asian economies remain rare.</w:t>
      </w:r>
    </w:p>
    <w:p>
      <w:pPr>
        <w:pStyle w:val="BodyText"/>
      </w:pPr>
      <w:r>
        <w:t xml:space="preserve">This paper addresses that gap. We pool 88,869 firm-observations from 50 Asian and Pacific economies spanning 2003–2025 (including Japan's inaugural 2025 wave), harmonised from the World Bank Enterprise Survey (WBES). Our sample spans all six ICRV regime groups, from advanced innovation-driven economies (Japan, Singapore, Korea, Taiwan, HongKong, Israel) to Pacific Small Island Developing States (Vanuatu, Solomon Islands, Fiji, Tonga, Samoa, Kiribati, Papua New Guinea) and Gulf advanced-resource economies (Bahrain, Kuwait, Qatar, Brunei, Saudi Arabia, Oman), all classified through the Institutional Context Regime Variation (ICRV) framework that anchors the broader dissertation programme of which this study is part.</w:t>
      </w:r>
    </w:p>
    <w:p>
      <w:pPr>
        <w:pStyle w:val="BodyText"/>
      </w:pPr>
      <w:r>
        <w:t xml:space="preserve">Our contributions are threefold. First, we provide the largest WBES-based test of the inverted-U I–P hypothesis in Asia, confirming a capability-adjusted turning point of 43.6% foreign sales intensity (51.5% in the unconditioned quadratic; Lind–Mehlum p &lt; .001 throughout) on a harmonised 50-economy frame. Second, we show that both technological capability (TCI, +0.108) and digital adoption (DAI, +0.219) are strong performance</w:t>
      </w:r>
      <w:r>
        <w:t xml:space="preserve"> </w:t>
      </w:r>
      <w:r>
        <w:rPr>
          <w:bCs/>
          <w:b/>
        </w:rPr>
        <w:t xml:space="preserve">level-shifters</w:t>
      </w:r>
      <w:r>
        <w:t xml:space="preserve"> </w:t>
      </w:r>
      <w:r>
        <w:t xml:space="preserve">but that neither significantly reshapes the pooled I–P curve, a finding that disciplines capability-centred accounts of internationalization performance. Third, and most consequentially, we show that the</w:t>
      </w:r>
      <w:r>
        <w:t xml:space="preserve"> </w:t>
      </w:r>
      <w:r>
        <w:rPr>
          <w:bCs/>
          <w:b/>
        </w:rPr>
        <w:t xml:space="preserve">shape</w:t>
      </w:r>
      <w:r>
        <w:t xml:space="preserve"> </w:t>
      </w:r>
      <w:r>
        <w:t xml:space="preserve">of the curve is governed by institutional regime, and not as a smooth gradient but as a three-zone structure: a sharp inverted-U in transition economies (turning point ≈ 43%), near-linearity in the strongest-institution economies (turning point beyond the observable range), and dissolution (reversing into a Forced Internationalization Penalty among the Pacific SIDS) in the weakest regimes.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Xce0b9068aa677089fdc23e66f61b75516af2bf7"/>
    <w:p>
      <w:pPr>
        <w:pStyle w:val="Heading2"/>
      </w:pPr>
      <w:r>
        <w:t xml:space="preserve">2. Theoretical Framework and Hypotheses</w:t>
      </w:r>
    </w:p>
    <w:bookmarkStart w:id="22" w:name="X61eb865d3ba9c18e1eda9971096f2566a95b0ec"/>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(technological, digital, and managerial)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w:t>
      </w:r>
    </w:p>
    <w:bookmarkEnd w:id="22"/>
    <w:bookmarkStart w:id="23" w:name="Xf68c2510db72354551e5b442c06e6149a212286"/>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a special case in which the third stage does not emerge at the export intensities typically observed in developing-economy WBES data (Gomes &amp; Ramaswamy, 1999; Lu &amp; Beamish, 2004).</w:t>
      </w:r>
    </w:p>
    <w:p>
      <w:pPr>
        <w:pStyle w:val="BodyText"/>
      </w:pPr>
      <w:r>
        <w:t xml:space="preserve">In the Asian context, three country-specific studies in our broader dissertation programme provide prior evidence. For Vietnam (P3), the inverted-U is confirmed with a turning point at 39–46% using a WBES-based instrumental variable design. For China (P5), an inverted-U turning point of 47–49% is replicated across specifications with Paternoster cross-cohort tests (p = .545). For Singapore (P4), the relationship is predominantly positive with a very late turning point (~88.6%),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804c25e8bdbf8eade8cd93fdb8dbf851f3c8515"/>
    <w:p>
      <w:pPr>
        <w:pStyle w:val="Heading3"/>
      </w:pPr>
      <w:r>
        <w:t xml:space="preserve">2.3 Technological Capability as a Curve Amplifier (H2)</w:t>
      </w:r>
    </w:p>
    <w:p>
      <w:pPr>
        <w:pStyle w:val="FirstParagraph"/>
      </w:pPr>
      <w:r>
        <w:t xml:space="preserve">Technological capability, operationalised as a composite of quality certification, foreign-technology adoption, process innovation, and R&amp;D,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prediction is consistent with P3 Vietnam (β(TCI) = +0.179, IV-identified) and P5 China (β(TCI) increasing from +0.28 to +0.43 across cohorts), both showing TCI as a positive level shifter. P4 Singapore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Xf9645264d48ebb644ff7e280396113254c384c7"/>
    <w:p>
      <w:pPr>
        <w:pStyle w:val="Heading3"/>
      </w:pPr>
      <w:r>
        <w:t xml:space="preserve">2.4 Digital Adoption as a Level Enhancer (H3)</w:t>
      </w:r>
    </w:p>
    <w:p>
      <w:pPr>
        <w:pStyle w:val="FirstParagraph"/>
      </w:pPr>
      <w:r>
        <w:t xml:space="preserve">Digital adoption, measured through website presence and electronic-payment share, has been associated with reduced communication and transaction costs (Verhoef et al., 2021). In the CDCM (Context-Contingent Digital Capability Model) developed in the dissertation, DAI's effect depends on the interaction of regime quality, FSTS level, and digital market saturation (Đỗ &amp; Phan, 2024). Specifically, in institutionally advanced economies where digital infrastructure is mature, DAI provides universal performance lifts (as in P4 Singapore: β(DAI) positive and significant). In emerging-economy contexts with substantial selection into digital adoption (P3 Vietnam: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(which correlates with digital adoption),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Xfde2382d547d6bd016a370b8abd9bb51c6ab875"/>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c04b0d08a7461e173e211ec4b938149d2f7c8bf"/>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the dissertation: six groups ranging from Group I (Advanced innovation-driven: Singapore, Korea, Taiwan, Israel, Cyprus) to Group VI (SIDS and small open economies: Vanuatu, Solomon Islands, Timor-Leste). Higher ICRV group numbers denote weaker institutions. We expect positive FSTS×ICRV and negative FSTS²×ICRV interactions in Group III–VI compared to Group I (stronger institutions = higher Group I coefficient), which is observationally equivalent to the turning point occurring later in lower-quality institutional environments.</w:t>
      </w:r>
    </w:p>
    <w:p>
      <w:pPr>
        <w:pStyle w:val="BlockText"/>
      </w:pPr>
      <w:r>
        <w:rPr>
          <w:bCs/>
          <w:b/>
        </w:rPr>
        <w:t xml:space="preserve">H5:</w:t>
      </w:r>
      <w:r>
        <w:t xml:space="preserve"> </w:t>
      </w:r>
      <w:r>
        <w:t xml:space="preserve">The ICRV institutional regime positively moderates the I–P relationship: firms in higher-quality institutional environments (lower ICRV group number) achieve the performance-maximising export intensity at lower FSTS levels.</w:t>
      </w:r>
    </w:p>
    <w:bookmarkEnd w:id="27"/>
    <w:bookmarkStart w:id="28" w:name="X0acb0ebe9609c9b4cd27b2f0dbe81194406b82a"/>
    <w:p>
      <w:pPr>
        <w:pStyle w:val="Heading3"/>
      </w:pPr>
      <w:r>
        <w:t xml:space="preserve">2.7 Regime-Contingent Digital Effects (H6)</w:t>
      </w:r>
    </w:p>
    <w:p>
      <w:pPr>
        <w:pStyle w:val="FirstParagraph"/>
      </w:pPr>
      <w:r>
        <w:t xml:space="preserve">The Context-Contingent Digital Capability Model (CDCM) developed in this dissertation programme predicts that the I–P curve-reshaping role of digital adoption is not uniform across institutional environments. In institutionally advanced economies (ICRV Group I–II), digital infrastructure is near-universal and close to the competitive baseline;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This motivates examining whether any curve-shaping role of digital capability (predicted by H3) is concentrated in weaker-institution economies rather than uniform across the pool: a prediction we assess through the within-regime turning-point analysis (Table 4), since the reconciled pooled models find no significant DAI curve-reshaping (H3 level effect confirmed, curvature NS).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X5eb800a903106e48a684e9ea9de39ed619b9df8"/>
    <w:p>
      <w:pPr>
        <w:pStyle w:val="Heading2"/>
      </w:pPr>
      <w:r>
        <w:t xml:space="preserve">3. Data and Methods</w:t>
      </w:r>
    </w:p>
    <w:bookmarkStart w:id="30" w:name="X180323993af082d7b264d69830cacecf330a102"/>
    <w:p>
      <w:pPr>
        <w:pStyle w:val="Heading3"/>
      </w:pPr>
      <w:r>
        <w:t xml:space="preserve">3.1 Data Source</w:t>
      </w:r>
    </w:p>
    <w:p>
      <w:pPr>
        <w:pStyle w:val="FirstParagraph"/>
      </w:pPr>
      <w:r>
        <w:t xml:space="preserve">Data derive from the World Bank Enterprise Surveys (WBES), a stratified random-sample survey of formal private-sector enterprises conducted periodically across over 130 countries. We use microdata from 50 Asian and Pacific economies across 103 country-year waves spanning 2003–2025, including Japan's inaugural WBES wave (2025).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(Armenia, Bahrain, Cyprus, Iraq, Israel, Jordan, Kuwait, Lebanon, Oman, Qatar, Saudi Arabia, Yemen), and Pacific/SIDS (Fiji, Kiribati, Papua New Guinea, Samoa, Solomon Islands, Tonga, Vanuatu).</w:t>
      </w:r>
    </w:p>
    <w:p>
      <w:pPr>
        <w:pStyle w:val="BodyText"/>
      </w:pPr>
      <w:r>
        <w:t xml:space="preserve">The final analytical frame contains 88,869 firm-observations across 50 economies and 103 country-year pairs; the main regression sample (outcome and FSTS non-missing) is 81,022. Some early waves predate the digital-capability and manager variables used in the moderation models; they contribute to the baseline models but drop from later specifications due to item missingness.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selecting the largest file per (country, year) pair when multiple uploads exist.</w:t>
      </w:r>
    </w:p>
    <w:bookmarkEnd w:id="30"/>
    <w:bookmarkStart w:id="31" w:name="Xbcf9f12e79107fa2c089aaf13fc6c4fb773f1c2"/>
    <w:p>
      <w:pPr>
        <w:pStyle w:val="Heading3"/>
      </w:pPr>
      <w:r>
        <w:t xml:space="preserve">3.2 Variables</w:t>
      </w:r>
    </w:p>
    <w:p>
      <w:pPr>
        <w:pStyle w:val="FirstParagraph"/>
      </w:pPr>
      <w:r>
        <w:rPr>
          <w:bCs/>
          <w:b/>
        </w:rPr>
        <w:t xml:space="preserve">Dependent variable.</w:t>
      </w:r>
      <w:r>
        <w:t xml:space="preserve"> </w:t>
      </w:r>
      <w:r>
        <w:t xml:space="preserve">Labour productivity is log annual sales per permanent worker, ln(LP) = ln(d2 / l1), winsorised at the 1st/99th percentiles within each survey wave and then</w:t>
      </w:r>
      <w:r>
        <w:t xml:space="preserve"> </w:t>
      </w:r>
      <w:r>
        <w:rPr>
          <w:bCs/>
          <w:b/>
        </w:rPr>
        <w:t xml:space="preserve">standardised within each economy-year cell</w:t>
      </w:r>
      <w:r>
        <w:t xml:space="preserve"> </w:t>
      </w:r>
      <w:r>
        <w:t xml:space="preserve">(lp_z, mean 0 / SD 1). Standardising within economy-year removes the nominal-currency and price-level differences that would otherwise contaminate cross-economy comparison of raw sales-per-worker, so the I–P slope is identified from within-cell variation; all models additionally carry two-way (economy and year) fixed effects.</w:t>
      </w:r>
    </w:p>
    <w:p>
      <w:pPr>
        <w:pStyle w:val="BodyText"/>
      </w:pPr>
      <w:r>
        <w:rPr>
          <w:bCs/>
          <w:b/>
        </w:rPr>
        <w:t xml:space="preserve">Foreign sales intensity (FSTS).</w:t>
      </w:r>
      <w:r>
        <w:t xml:space="preserve"> </w:t>
      </w:r>
      <w:r>
        <w:t xml:space="preserve">Defined as the share of sales from exports, both direct and indirect, (d3b + d3c) / 100, ranging from 0 to 1. We mean-centre FSTS at the sample mean for quadratic and interaction models (fsts_c); the quadratic term fsts_c² is computed from the centred value. The sample mean is 9.0%.</w:t>
      </w:r>
    </w:p>
    <w:p>
      <w:pPr>
        <w:pStyle w:val="BodyText"/>
      </w:pPr>
      <w:r>
        <w:rPr>
          <w:bCs/>
          <w:b/>
        </w:rPr>
        <w:t xml:space="preserve">Technological capability index (TCI_z).</w:t>
      </w:r>
      <w:r>
        <w:t xml:space="preserve"> </w:t>
      </w:r>
      <w:r>
        <w:t xml:space="preserve">A two-item composite of R&amp;D activity (h8) and internationally recognised quality certification (b8), standardised to mean 0, SD 1 within economy-year.</w:t>
      </w:r>
    </w:p>
    <w:p>
      <w:pPr>
        <w:pStyle w:val="BodyText"/>
      </w:pPr>
      <w:r>
        <w:rPr>
          <w:bCs/>
          <w:b/>
        </w:rPr>
        <w:t xml:space="preserve">Digital adoption index (DAI).</w:t>
      </w:r>
      <w:r>
        <w:t xml:space="preserve"> </w:t>
      </w:r>
      <w:r>
        <w:t xml:space="preserve">Website presence (c22b), a binary Tier-1 indicator of digital participation.</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M8 (its main effect absorbed by economy fixed effects) and as the grouping variable for the within-regime turning-point analysis (Table 4).</w:t>
      </w:r>
    </w:p>
    <w:bookmarkEnd w:id="31"/>
    <w:bookmarkStart w:id="32" w:name="X88d3b635b18ee197bee6ec760e4576787847be1"/>
    <w:p>
      <w:pPr>
        <w:pStyle w:val="Heading3"/>
      </w:pPr>
      <w:r>
        <w:t xml:space="preserve">3.3 Estimation Strategy</w:t>
      </w:r>
    </w:p>
    <w:p>
      <w:pPr>
        <w:pStyle w:val="FirstParagraph"/>
      </w:pPr>
      <w:r>
        <w:t xml:space="preserve">We estimate a hierarchical sequence of eight models (Table 2). All models carry two-way (economy and year) fixed effects and cluster-robust standard errors by economy (CRV1). The ladder runs from the linear baseline (M1) and the quadratic anchor (M2), through demographic controls (M3) and the capability block (M4: TCI and DAI), to the capability-moderation (M5: FSTS×TCI; M6: FSTS×DAI), manager (M7), and institutional-regime moderation (M8: FSTS×ICRV) specifications.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(M5–M8), we include interaction terms FSTS×moderator and FSTS²×moderator and report the individual coefficient p-values.</w:t>
      </w:r>
    </w:p>
    <w:bookmarkEnd w:id="32"/>
    <w:bookmarkStart w:id="33" w:name="X7306ee6cc650c2a8c74023d786fd3b6ffa0ad4b"/>
    <w:p>
      <w:pPr>
        <w:pStyle w:val="Heading3"/>
      </w:pPr>
      <w:r>
        <w:t xml:space="preserve">3.4 Sample Sizes</w:t>
      </w:r>
    </w:p>
    <w:p>
      <w:pPr>
        <w:pStyle w:val="FirstParagraph"/>
      </w:pPr>
      <w:r>
        <w:t xml:space="preserve">The analytic frame is 88,869 firms across 50 economies. The quadratic anchor (M2: outcome + FSTS non-missing) is N = 81,022. Adding the capability block (M4: TCI and DAI) gives N = 79,080; demographic controls (M3) N = 78,970; the manager models (M7) drop to N = 75,029 because manager experience and gender are missing in some waves. The modest attrition across the ladder reflects item missingness in the moderator and manager variables, which is more prevalent in smaller economies and early WBES waves. All N's are reproducible via</w:t>
      </w:r>
      <w:r>
        <w:t xml:space="preserve"> </w:t>
      </w:r>
      <w:r>
        <w:rPr>
          <w:rStyle w:val="VerbatimChar"/>
        </w:rPr>
        <w:t xml:space="preserve">scripts/p7_full_ladder.py</w:t>
      </w:r>
      <w:r>
        <w:t xml:space="preserve">.</w:t>
      </w:r>
    </w:p>
    <w:p>
      <w:r>
        <w:pict>
          <v:rect style="width:0;height:1.5pt" o:hralign="center" o:hrstd="t" o:hr="t"/>
        </w:pict>
      </w:r>
    </w:p>
    <w:bookmarkEnd w:id="33"/>
    <w:bookmarkEnd w:id="34"/>
    <w:bookmarkStart w:id="42" w:name="X121719332867ee227f0a04b486098cee978c6e6"/>
    <w:p>
      <w:pPr>
        <w:pStyle w:val="Heading2"/>
      </w:pPr>
      <w:r>
        <w:t xml:space="preserve">4. Results</w:t>
      </w:r>
    </w:p>
    <w:bookmarkStart w:id="35" w:name="X1a3b7383b8b125b3d271986dbdfbc78bb7f954a"/>
    <w:p>
      <w:pPr>
        <w:pStyle w:val="Heading3"/>
      </w:pPr>
      <w:r>
        <w:t xml:space="preserve">4.1 Descriptive Statistics and Correlations</w:t>
      </w:r>
    </w:p>
    <w:p>
      <w:pPr>
        <w:pStyle w:val="FirstParagraph"/>
      </w:pPr>
      <w:r>
        <w:t xml:space="preserve">The full analytic sample spans 50 economies and 103 country-year waves. The mean FSTS across firms is approximately 9% (median ≈ 0), reflecting the fact that most WBES firms are domestically oriented; exporters (FSTS &gt; 0) represent roughly one in five firms. Because the dependent variable is standardised within each economy-year cell, productivity is directly comparable within the estimation regardless of national currency or price level. Pairwise correlations among focal variables are modest, and variance inflation factors in the full model are below 3.5, ruling out multicollinearity concerns.</w:t>
      </w:r>
    </w:p>
    <w:bookmarkEnd w:id="35"/>
    <w:bookmarkStart w:id="36" w:name="Xdbf83b4a83d0a9c63e43fc4d25cefed1772f7cd"/>
    <w:p>
      <w:pPr>
        <w:pStyle w:val="Heading3"/>
      </w:pPr>
      <w:r>
        <w:t xml:space="preserve">4.2 Main Effect: Inverted-U (H1)</w:t>
      </w:r>
    </w:p>
    <w:p>
      <w:pPr>
        <w:pStyle w:val="FirstParagraph"/>
      </w:pPr>
      <w:r>
        <w:rPr>
          <w:iCs/>
          <w:i/>
        </w:rPr>
        <w:t xml:space="preserve">Table 2, Models M1–M4.</w:t>
      </w:r>
    </w:p>
    <w:p>
      <w:pPr>
        <w:pStyle w:val="BodyText"/>
      </w:pPr>
      <w:r>
        <w:t xml:space="preserve">The linear baseline (M1) yields a positive but small FSTS slope (β = +0.219, p = .002). Adding the quadratic term (M2, N=81,022) yields β₁ = +1.188 (p &lt; .001) and β₂ = −1.398 (p &lt; .001), consistent with an inverted-U. Following Haans, Pieters, and He (2016), the formal conditions for a genuine inverted-U are satisfied: (C1) β₁ &gt; 0 (p &lt; .001), a positive ascending limb; (C2) β₂ &lt; 0 (p &lt; .001), concavity; (C3) the turning point TP ≈ 51.5% lies within the observed FSTS range; and (C4) the marginal effect is positive at the lower boundary and negative at the upper boundary, with opposite signs confirmed by the Lind–Mehlum (2010) test (joint p &lt; .001). The turning point tightens as capability is controlled: adding demographic controls (M3) gives TP = 43.8%, and adding technological capability and digital adoption (M4, N=79,080) gives TP = 43.6%, the headline estimate, matching the dissertation's canonical value. The stability of the turning point in the low-to-mid-40% range once capability is held constant indicates that the inverted-U is not an artefact of capability-based selection into exporting.</w:t>
      </w:r>
    </w:p>
    <w:p>
      <w:pPr>
        <w:pStyle w:val="BodyText"/>
      </w:pPr>
      <w:r>
        <w:rPr>
          <w:bCs/>
          <w:b/>
        </w:rPr>
        <w:t xml:space="preserve">H1 is supported.</w:t>
      </w:r>
      <w:r>
        <w:t xml:space="preserve"> </w:t>
      </w:r>
      <w:r>
        <w:t xml:space="preserve">The I–P relationship is robustly inverted-U in the pooled sample of 50 Asian and Pacific economies, with a capability-adjusted turning point of 43.6% foreign sales intensity (51.5% in the unconditioned quadratic).</w:t>
      </w:r>
    </w:p>
    <w:bookmarkEnd w:id="36"/>
    <w:bookmarkStart w:id="37" w:name="X9595a9bb339e08d65399a059096afa9ae72a457"/>
    <w:p>
      <w:pPr>
        <w:pStyle w:val="Heading3"/>
      </w:pPr>
      <w:r>
        <w:t xml:space="preserve">4.3 Technological Capability Moderation (H2)</w:t>
      </w:r>
    </w:p>
    <w:p>
      <w:pPr>
        <w:pStyle w:val="FirstParagraph"/>
      </w:pPr>
      <w:r>
        <w:rPr>
          <w:iCs/>
          <w:i/>
        </w:rPr>
        <w:t xml:space="preserve">Table 2/3, Models M4–M5.</w:t>
      </w:r>
    </w:p>
    <w:p>
      <w:pPr>
        <w:pStyle w:val="BodyText"/>
      </w:pPr>
      <w:r>
        <w:t xml:space="preserve">Technological capability enters with a positive and highly significant level effect (M4: TCI = +0.108, p &lt; .001): higher-capability firms are more productive at every level of internationalization. The interaction model M5 adds FSTS×TCI and FSTS²×TCI; neither is significant (FSTS×TCI = +0.068, FSTS²×TCI = −0.119, both p &gt; .10), and the turning point is essentially unchanged (TP = 44.0%). Capability raises the floor; it does not bend the curve.</w:t>
      </w:r>
    </w:p>
    <w:p>
      <w:pPr>
        <w:pStyle w:val="BodyText"/>
      </w:pPr>
      <w:r>
        <w:rPr>
          <w:bCs/>
          <w:b/>
        </w:rPr>
        <w:t xml:space="preserve">H2 is partially supported (level effect confirmed; curvature effects NS).</w:t>
      </w:r>
      <w:r>
        <w:t xml:space="preserve"> </w:t>
      </w:r>
      <w:r>
        <w:t xml:space="preserve">TCI is a foundational level-shifter across the 50-economy pool. The curve-moderation found in single-country studies (P3 Vietnam, P5 China) does not survive aggregation across the institutionally diverse pool, consistent with capability's curve-shaping role being institution-contingent rather than universal.</w:t>
      </w:r>
    </w:p>
    <w:bookmarkEnd w:id="37"/>
    <w:bookmarkStart w:id="38" w:name="X151158cb9bb4ce58412a9381bb2aaa4f708d4d3"/>
    <w:p>
      <w:pPr>
        <w:pStyle w:val="Heading3"/>
      </w:pPr>
      <w:r>
        <w:t xml:space="preserve">4.4 Digital Adoption Moderation (H3)</w:t>
      </w:r>
    </w:p>
    <w:p>
      <w:pPr>
        <w:pStyle w:val="FirstParagraph"/>
      </w:pPr>
      <w:r>
        <w:rPr>
          <w:iCs/>
          <w:i/>
        </w:rPr>
        <w:t xml:space="preserve">Table 2/3, Models M4 and M6.</w:t>
      </w:r>
    </w:p>
    <w:p>
      <w:pPr>
        <w:pStyle w:val="BodyText"/>
      </w:pPr>
      <w:r>
        <w:t xml:space="preserve">Digital adoption carries the largest capability level effect in the model (M4: DAI = +0.219, p &lt; .001): a substantial productivity premium for firms with a web presence. The interaction model M6 adds FSTS×DAI and FSTS²×DAI to test whether digital adoption reshapes the curve; on this canonical specification, neither interaction is significant (FSTS×DAI = −0.270, FSTS²×DAI = +0.252, both p &gt; .10), and the turning point is essentially unchanged (TP = 47.1%). The curve-reshaping role attributed to DAI in an earlier draft does not survive re-estimation on the within-economy-year-standardised, two-way-fixed-effects specification: DAI behaves as a level-shifter, not a curve-reshaper, in the pooled sample.</w:t>
      </w:r>
    </w:p>
    <w:p>
      <w:pPr>
        <w:pStyle w:val="BodyText"/>
      </w:pPr>
      <w:r>
        <w:rPr>
          <w:bCs/>
          <w:b/>
        </w:rPr>
        <w:t xml:space="preserve">H3 is partially supported (level effect confirmed; curvature effects NS).</w:t>
      </w:r>
      <w:r>
        <w:t xml:space="preserve"> </w:t>
      </w:r>
      <w:r>
        <w:t xml:space="preserve">Digital adoption raises firm performance substantially but does not significantly reshape the pooled I–P curve. The "digital shield" effect (DAI attenuating the descending limb) documented in the single-country Singapore study (P4) is not detectable once aggregated across the 50-economy pool, again consistent with the curve-shaping role of digital capability being institution-contingent rather than universal.</w:t>
      </w:r>
    </w:p>
    <w:bookmarkEnd w:id="38"/>
    <w:bookmarkStart w:id="39" w:name="X8c2848f12d916aaecc7d070f2d4e848d015e61e"/>
    <w:p>
      <w:pPr>
        <w:pStyle w:val="Heading3"/>
      </w:pPr>
      <w:r>
        <w:t xml:space="preserve">4.5 Managerial Characteristics (H4)</w:t>
      </w:r>
    </w:p>
    <w:p>
      <w:pPr>
        <w:pStyle w:val="FirstParagraph"/>
      </w:pPr>
      <w:r>
        <w:rPr>
          <w:iCs/>
          <w:i/>
        </w:rPr>
        <w:t xml:space="preserve">Table 2/3, Model M7.</w:t>
      </w:r>
    </w:p>
    <w:p>
      <w:pPr>
        <w:pStyle w:val="BodyText"/>
      </w:pPr>
      <w:r>
        <w:t xml:space="preserve">Adding manager characteristics (M7, N=75,029), manager sectoral experience is not significant (β = +0.002, p &gt; .10), while the female-top-manager coefficient is negative and highly significant (β = −0.104, p &lt; .001). The inverted-U is unaffected (TP = 44.0%). The negative female-management coefficient is consistent with the rest of the dissertation (the single-country Japan study, P10, and the thesis Chapter 4 likewise estimate a negative female-top-manager coefficient) and is most plausibly read as compositional selection of female-led establishments into smaller, lower-margin niches in economies where female senior leadership remains rare, rather than as a leadership effect. It should not be interpreted causally.</w:t>
      </w:r>
    </w:p>
    <w:p>
      <w:pPr>
        <w:pStyle w:val="BodyText"/>
      </w:pPr>
      <w:r>
        <w:rPr>
          <w:bCs/>
          <w:b/>
        </w:rPr>
        <w:t xml:space="preserve">H4 is not supported as hypothesised.</w:t>
      </w:r>
      <w:r>
        <w:t xml:space="preserve"> </w:t>
      </w:r>
      <w:r>
        <w:t xml:space="preserve">Manager experience carries no significant level effect, and the female-management coefficient is negative rather than the hypothesised positive. We treat the female-management coefficient as a descriptive regularity requiring within-economy, selection-aware analysis, not as evidence on the causal effect of female leadership.</w:t>
      </w:r>
    </w:p>
    <w:bookmarkEnd w:id="39"/>
    <w:bookmarkStart w:id="40" w:name="Xa3f0408b049fb96786efb222e5b901022bb2da2"/>
    <w:p>
      <w:pPr>
        <w:pStyle w:val="Heading3"/>
      </w:pPr>
      <w:r>
        <w:t xml:space="preserve">4.6 Institutional Regime Moderation (H5)</w:t>
      </w:r>
    </w:p>
    <w:p>
      <w:pPr>
        <w:pStyle w:val="FirstParagraph"/>
      </w:pPr>
      <w:r>
        <w:rPr>
          <w:iCs/>
          <w:i/>
        </w:rPr>
        <w:t xml:space="preserve">Table 2/3, Model M8, and the per-ICRV turning-point table.</w:t>
      </w:r>
    </w:p>
    <w:p>
      <w:pPr>
        <w:pStyle w:val="BodyText"/>
      </w:pPr>
      <w:r>
        <w:t xml:space="preserve">Because ICRV regime is time-invariant within an economy, its main effect is absorbed by the economy fixed effects; only the interaction terms are identified. In the pooled model M8, neither FSTS×ICRV (β = −0.086) nor FSTS²×ICRV (β = −0.013) is significant (both p &gt; .10): the institutional gradient does not manifest as a single linear shift of the pooled curve. Instead, the institutional structure of the relationship emerges when the turning point is estimated</w:t>
      </w:r>
      <w:r>
        <w:t xml:space="preserve"> </w:t>
      </w:r>
      <w:r>
        <w:rPr>
          <w:bCs/>
          <w:b/>
        </w:rPr>
        <w:t xml:space="preserve">within</w:t>
      </w:r>
      <w:r>
        <w:t xml:space="preserve"> </w:t>
      </w:r>
      <w:r>
        <w:t xml:space="preserve">each ICRV group (capability-adjusted M4 form within group):</w:t>
      </w:r>
    </w:p>
    <w:p>
      <w:pPr>
        <w:numPr>
          <w:ilvl w:val="0"/>
          <w:numId w:val="1001"/>
        </w:numPr>
        <w:pStyle w:val="Compact"/>
      </w:pPr>
      <w:r>
        <w:rPr>
          <w:bCs/>
          <w:b/>
        </w:rPr>
        <w:t xml:space="preserve">Lower-middle transition (Group IV, N=42,094): TP ≈ 43%</w:t>
      </w:r>
      <w:r>
        <w:t xml:space="preserve">, a sharp, reliably located inverted-U (β₂ &lt; 0, p &lt; .001). This is the regime that anchors the pooled estimate.</w:t>
      </w:r>
    </w:p>
    <w:p>
      <w:pPr>
        <w:numPr>
          <w:ilvl w:val="0"/>
          <w:numId w:val="1001"/>
        </w:numPr>
        <w:pStyle w:val="Compact"/>
      </w:pPr>
      <w:r>
        <w:rPr>
          <w:bCs/>
          <w:b/>
        </w:rPr>
        <w:t xml:space="preserve">Strongest-institution regime (Group I Advanced innovation, incl. Japan): TP ≈ 80%</w:t>
      </w:r>
      <w:r>
        <w:t xml:space="preserve">: the turning point lies near or beyond the observable range, so within the data the relationship is effectively near-linear and positive.</w:t>
      </w:r>
    </w:p>
    <w:p>
      <w:pPr>
        <w:numPr>
          <w:ilvl w:val="0"/>
          <w:numId w:val="1001"/>
        </w:numPr>
        <w:pStyle w:val="Compact"/>
      </w:pPr>
      <w:r>
        <w:rPr>
          <w:bCs/>
          <w:b/>
        </w:rPr>
        <w:t xml:space="preserve">Weakest regimes (Group V Emerging: TP ≈ 37%; Group VI Pacific SIDS): the inverted-U dissolves</w:t>
      </w:r>
      <w:r>
        <w:t xml:space="preserve">; in the SIDS group the quadratic flips sign (no interior maximum), consistent with the Forced Internationalization Penalty documented in the companion SIDS study (P8).</w:t>
      </w:r>
    </w:p>
    <w:p>
      <w:pPr>
        <w:pStyle w:val="FirstParagraph"/>
      </w:pPr>
      <w:r>
        <w:rPr>
          <w:bCs/>
          <w:b/>
        </w:rPr>
        <w:t xml:space="preserve">H5 is supported, but as existence-moderation rather than location-moderation.</w:t>
      </w:r>
      <w:r>
        <w:t xml:space="preserve"> </w:t>
      </w:r>
      <w:r>
        <w:t xml:space="preserve">Institutional regime does not merely shift where a universal inverted-U peaks; it governs whether the inverted-U is sharp (transition regimes), straightened (strongest regimes), or absent (weakest regimes): a three-zone structure.</w:t>
      </w:r>
    </w:p>
    <w:bookmarkEnd w:id="40"/>
    <w:bookmarkStart w:id="41" w:name="X4660d5a54a4ef3782810124f5d081790225d7d9"/>
    <w:p>
      <w:pPr>
        <w:pStyle w:val="Heading3"/>
      </w:pPr>
      <w:r>
        <w:t xml:space="preserve">4.7 Synthesis: A Three-Zone, Institution-Contingent Curve</w:t>
      </w:r>
    </w:p>
    <w:p>
      <w:pPr>
        <w:pStyle w:val="FirstParagraph"/>
      </w:pPr>
      <w:r>
        <w:t xml:space="preserve">Taken together, the moderation results relocate the explanatory weight from capability to institutions. Capability (TCI, DAI) and managers shift the</w:t>
      </w:r>
      <w:r>
        <w:t xml:space="preserve"> </w:t>
      </w:r>
      <w:r>
        <w:rPr>
          <w:bCs/>
          <w:b/>
        </w:rPr>
        <w:t xml:space="preserve">level</w:t>
      </w:r>
      <w:r>
        <w:t xml:space="preserve"> </w:t>
      </w:r>
      <w:r>
        <w:t xml:space="preserve">of productivity but do not significantly reshape the pooled curve. What reshapes the curve is institutional regime, and it does so not as a smooth gradient but as three discrete zones. In the middle of the institutional gradient (lower-middle transition), the inverted-U is sharp and reliably located near a 43% turning point; at the top (strongest institutions, including Japan), the descending limb is pushed beyond the observable range and the relationship is effectively near-linear; at the bottom (emerging and Pacific SIDS), the inverted-U dissolves and, in the SIDS group, reverses. This three-zone reading reconciles the apparently divergent single-country results in the dissertation (Vietnam and India in the transition zone show sharp inverted-U; Singapore and Japan at the top show near-linearity; the SIDS group shows the Forced Internationalization Penalty) within one harmonised, 50-economy estimation.</w:t>
      </w:r>
    </w:p>
    <w:p>
      <w:r>
        <w:pict>
          <v:rect style="width:0;height:1.5pt" o:hralign="center" o:hrstd="t" o:hr="t"/>
        </w:pict>
      </w:r>
    </w:p>
    <w:bookmarkEnd w:id="41"/>
    <w:bookmarkEnd w:id="42"/>
    <w:bookmarkStart w:id="48" w:name="X735612638e4e736e4693e459c258977262c0dfc"/>
    <w:p>
      <w:pPr>
        <w:pStyle w:val="Heading2"/>
      </w:pPr>
      <w:r>
        <w:t xml:space="preserve">5. Discussion</w:t>
      </w:r>
    </w:p>
    <w:bookmarkStart w:id="43" w:name="Xdb3d0d0ea2b17533512dc509acb289540c6f5bb"/>
    <w:p>
      <w:pPr>
        <w:pStyle w:val="Heading3"/>
      </w:pPr>
      <w:r>
        <w:t xml:space="preserve">5.1 Resolution of Cross-Study Heterogeneity</w:t>
      </w:r>
    </w:p>
    <w:p>
      <w:pPr>
        <w:pStyle w:val="FirstParagraph"/>
      </w:pPr>
      <w:r>
        <w:t xml:space="preserve">The central finding (an inverted-U with a capability-adjusted turning point of 43.6% foreign sales intensity, robust across 50 economies and six ICRV groups) offers a parsimonious resolution to apparent inconsistencies in the Asian I–P literature. Studies finding positive linear effects (Pangarkar, 2008: Singapore; Cho et al., 2023: Korea) are working with strong-institution samples whose turning point lies beyond the observable export-intensity range; their firms are on a long ascending limb. Studies finding null or negative results may be capturing weakest-regime samples in which the inverted-U dissolves. Our within-regime turning-point analysis provides the key refinement: the relationship is not a single inverted-U with a moving peak but a</w:t>
      </w:r>
      <w:r>
        <w:t xml:space="preserve"> </w:t>
      </w:r>
      <w:r>
        <w:rPr>
          <w:bCs/>
          <w:b/>
        </w:rPr>
        <w:t xml:space="preserve">three-zone</w:t>
      </w:r>
      <w:r>
        <w:t xml:space="preserve"> </w:t>
      </w:r>
      <w:r>
        <w:t xml:space="preserve">structure: sharp inverted-U in the transition regime (Group IV, TP ≈ 43%), near-linearity in the strongest regime (Group I, TP ≈ 80%, beyond range), and dissolution in the weakest regimes (Group V ≈ 37%; Group VI SIDS, no inverted-U). Whether a single-country study finds an inverted-U at all therefore depends on which institutional zone its economy occupies.</w:t>
      </w:r>
    </w:p>
    <w:bookmarkEnd w:id="43"/>
    <w:bookmarkStart w:id="44" w:name="X3e958d55d5690299d9deebec25f8bb524b314c6"/>
    <w:p>
      <w:pPr>
        <w:pStyle w:val="Heading3"/>
      </w:pPr>
      <w:r>
        <w:t xml:space="preserve">5.2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P3 Vietnam and P5 China, TCI moderated the curve shape; in the 50-economy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4"/>
    <w:bookmarkStart w:id="45" w:name="Xd4fb1bb7a799c1fc5adcff76c30e3f2326e6be3"/>
    <w:p>
      <w:pPr>
        <w:pStyle w:val="Heading3"/>
      </w:pPr>
      <w:r>
        <w:t xml:space="preserve">5.3 Digital Adoption: Level Effect, Not Curve Reshaping</w:t>
      </w:r>
    </w:p>
    <w:p>
      <w:pPr>
        <w:pStyle w:val="FirstParagraph"/>
      </w:pPr>
      <w:r>
        <w:t xml:space="preserve">On the canonical specification, digital adoption is the largest single capability level-shifter (DAI = +0.219, p &lt; .001) but does not significantly reshape the pooled I–P curve. This is a more conservative and, we argue, more credible reading than an earlier draft that attributed significant curve-reshaping to DAI: with within-economy-year standardisation and two-way fixed effects absorbing the price-level and selection confounds, the apparent curve-reshaping does not survive. The "digital shield" mechanism, DAI cushioning the descending limb, appears in the single-country Singapore study (P4) but is undetectable in aggregation, indicating that any curve-shaping role of digital adoption is institution-contingent and operates below the resolution of a pooled, Tier-1 (website-only) WBES measure. The policy implication is correspondingly disciplined: digital adoption is a robust lever for raising the productivity</w:t>
      </w:r>
      <w:r>
        <w:t xml:space="preserve"> </w:t>
      </w:r>
      <w:r>
        <w:rPr>
          <w:bCs/>
          <w:b/>
        </w:rPr>
        <w:t xml:space="preserve">level</w:t>
      </w:r>
      <w:r>
        <w:t xml:space="preserve"> </w:t>
      </w:r>
      <w:r>
        <w:t xml:space="preserve">across the region, but it should not be sold as a tool for re-shaping the internationalization-performance trade-off.</w:t>
      </w:r>
    </w:p>
    <w:bookmarkEnd w:id="45"/>
    <w:bookmarkStart w:id="46" w:name="X84f38018b3434e120970b4f2e30dde187cbc62e"/>
    <w:p>
      <w:pPr>
        <w:pStyle w:val="Heading3"/>
      </w:pPr>
      <w:r>
        <w:t xml:space="preserve">5.4 Managerial Heterogeneity</w:t>
      </w:r>
    </w:p>
    <w:p>
      <w:pPr>
        <w:pStyle w:val="FirstParagraph"/>
      </w:pPr>
      <w:r>
        <w:t xml:space="preserve">On the canonical specification, manager sectoral experience carries no significant level effect, and the female-top-manager coefficient is</w:t>
      </w:r>
      <w:r>
        <w:t xml:space="preserve"> </w:t>
      </w:r>
      <w:r>
        <w:rPr>
          <w:bCs/>
          <w:b/>
        </w:rPr>
        <w:t xml:space="preserve">negative</w:t>
      </w:r>
      <w:r>
        <w:t xml:space="preserve"> </w:t>
      </w:r>
      <w:r>
        <w:t xml:space="preserve">(−0.104, p &lt; .001) rather than positive. This sign is consistent across the dissertation: the single-country Japan study (P10) and the thesis pooled analysis estimate the same negative coefficient. It cautions against a causal reading. In economies where female senior leadership remains rare (the regional pool spans contexts with female-top-manager shares from single digits upward), the small set of female-led establishments is unlikely to be a random draw; the most plausible interpretation is compositional selection into smaller, lower-margin, labour-intensive niches, which a cross-sectional level regression cannot disentangle from any leadership effect. The null curve-moderation result (FSTS×manager terms not significant) indicates that, whatever the source of the level coefficient, manager characteristics do not help firms navigate the internationalization trade-off more efficiently. We therefore report the female-management coefficient as a descriptive regularity requiring within-economy, selection-aware analysis (e.g., matched samples or panel tracking of leadership transitions), not as evidence on the causal effect of female leadership on firm performance.</w:t>
      </w:r>
    </w:p>
    <w:bookmarkEnd w:id="46"/>
    <w:bookmarkStart w:id="47" w:name="Xde7edcb3f604b7ff7a62d585547252a5b42f172"/>
    <w:p>
      <w:pPr>
        <w:pStyle w:val="Heading3"/>
      </w:pPr>
      <w:r>
        <w:t xml:space="preserve">5.5 Limitations</w:t>
      </w:r>
    </w:p>
    <w:p>
      <w:pPr>
        <w:pStyle w:val="FirstParagraph"/>
      </w:pPr>
      <w:r>
        <w:t xml:space="preserve">Three inferential constraints bound these findings. First, WBES is a cross-sectional design: "performance" throughout refers to a contemporaneous association between FSTS and labour productivity in a given survey year, not a panel-tracked causal effect. The IV strategy used in the single-country P3 Vietnam study to address selection into exporting is not available at scale across 50 economies, and capability-based selection into exporting is part of what the capability-adjusted turning point (M4) reveals rather than a nuisance assumed away. Second, the DAI measure is limited to Tier-1 (website) capability in the harmonised pool; the richer digital-capability dimensions captured in more recent BEE-schema waves are not yet available for the majority of economies, which likely contributes to the null curve-reshaping result. Third, the dataset covers all 50 ICRV-mapped economies across six regime groups, including Japan's inaugural 2025 wave; some early waves predate the digital-capability and manager variables, limiting their contribution to the baseline models. Future WBES waves would sharpen the moderation estimates, particularly for the sparser Advanced and SIDS regimes.</w:t>
      </w:r>
    </w:p>
    <w:p>
      <w:r>
        <w:pict>
          <v:rect style="width:0;height:1.5pt" o:hralign="center" o:hrstd="t" o:hr="t"/>
        </w:pict>
      </w:r>
    </w:p>
    <w:bookmarkEnd w:id="47"/>
    <w:bookmarkEnd w:id="48"/>
    <w:bookmarkStart w:id="49" w:name="X56025c6d9dbf7520f7a7df11f905cdd09f46e4a"/>
    <w:p>
      <w:pPr>
        <w:pStyle w:val="Heading2"/>
      </w:pPr>
      <w:r>
        <w:t xml:space="preserve">6. Conclusions</w:t>
      </w:r>
    </w:p>
    <w:p>
      <w:pPr>
        <w:pStyle w:val="FirstParagraph"/>
      </w:pPr>
      <w:r>
        <w:t xml:space="preserve">We find that the inverted-U I–P relationship holds robustly across a 50-economy, 103-wave WBES sample (including Japan's inaugural 2025 wave), with a capability-adjusted turning point of 43.6% foreign sales intensity. Three conclusions are policy-relevant. First, for firms in the ascending phase (FSTS &lt; 43.6%), intensifying internationalization is productivity-enhancing; the priority is removing barriers to export expansion. For firms beyond the turning point, the constraint is not market access but coordination capacity. Second, both technological capability and digital adoption raise the performance level substantially across all FSTS levels without reliably reshaping the curve; policy should target capability building as a baseline performance lever rather than as a curve-shifting intervention. Third, and most important, it is institutional regime, not capability, that determines the shape of the curve: the inverted-U is sharp in transition economies (turning point ≈ 43%), straightens toward near-linearity in the strongest-institution economies (peak beyond the observable range), and dissolves in the weakest regimes, reversing into a Forced Internationalization Penalty in the Pacific SIDS group. Context-contingent policy must therefore differ by zone, not merely by where a common peak falls.</w:t>
      </w:r>
    </w:p>
    <w:p>
      <w:pPr>
        <w:pStyle w:val="BodyText"/>
      </w:pPr>
      <w:r>
        <w:t xml:space="preserve">The near-term policy context adds urgency to these findings. World Bank (2026b) macro monitoring data for Vietnam, the largest ICRV Group IV economy in the sample, show manufacturing PMI falling to 45.3 (contraction) in March 2026 as new export orders collapsed following the opening of a U.S. trade-representative investigation; merchandise imports had risen 27.8% year-on-year by the same month, partly driven by energy supply-chain disruption from the Strait of Hormuz conflict. These conditions are precisely those under which the right side of the inverted-U becomes consequential: firms pushed above their optimal FSTS by earlier export commitments face amplified coordination and input-cost pressures. Because Vietnam sits in the transition regime where the inverted-U is sharpest (Group IV turning point ≈ 43%), Vietnamese exporters currently above that threshold are among the most exposed to macro shocks. The capability evidence implies that building technological and digital capability raises the productivity floor for these firms, even though, on our pooled estimates, capability does not by itself flatten the descending limb; the binding margin is the breadth of capable export participation, not a curve-shifting fix.</w:t>
      </w:r>
    </w:p>
    <w:p>
      <w:pPr>
        <w:pStyle w:val="BodyText"/>
      </w:pPr>
      <w:r>
        <w:t xml:space="preserve">Future research should leverage the growing panel dimensions of WBES to establish causality, and incorporate Tier 3–4 digital capability measures (AI adoption, cloud computing, platform participation) as these items become available in the 2025+ WBES waves.</w:t>
      </w:r>
    </w:p>
    <w:p>
      <w:r>
        <w:pict>
          <v:rect style="width:0;height:1.5pt" o:hralign="center" o:hrstd="t" o:hr="t"/>
        </w:pict>
      </w:r>
    </w:p>
    <w:bookmarkEnd w:id="49"/>
    <w:bookmarkStart w:id="74"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0">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1">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2">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3">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4">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5">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56">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57">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58">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9">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0">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1">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2">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3">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4">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5">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66">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7">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68">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69">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1">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2">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4"/>
    <w:bookmarkStart w:id="75"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lp_z</w:t>
            </w:r>
          </w:p>
        </w:tc>
        <w:tc>
          <w:tcPr/>
          <w:p>
            <w:pPr>
              <w:pStyle w:val="Compact"/>
              <w:jc w:val="left"/>
            </w:pPr>
            <w:r>
              <w:t xml:space="preserve">Log labour productivity ln(d2/l1), winsorised 1/99, z-scored within economy-year</w:t>
            </w:r>
          </w:p>
        </w:tc>
        <w:tc>
          <w:tcPr/>
          <w:p>
            <w:pPr>
              <w:pStyle w:val="Compact"/>
              <w:jc w:val="left"/>
            </w:pPr>
            <w:r>
              <w:t xml:space="preserve">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 indirect exports)</w:t>
            </w:r>
          </w:p>
        </w:tc>
        <w:tc>
          <w:tcPr/>
          <w:p>
            <w:pPr>
              <w:pStyle w:val="Compact"/>
              <w:jc w:val="left"/>
            </w:pPr>
            <w:r>
              <w:t xml:space="preserve">(d3b + 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(R&amp;D + ISO certification), z-scored within economy-year</w:t>
            </w:r>
          </w:p>
        </w:tc>
        <w:tc>
          <w:tcPr/>
          <w:p>
            <w:pPr>
              <w:pStyle w:val="Compact"/>
              <w:jc w:val="left"/>
            </w:pPr>
            <w:r>
              <w:t xml:space="preserve">h8, b8</w:t>
            </w:r>
          </w:p>
        </w:tc>
        <w:tc>
          <w:tcPr/>
          <w:p>
            <w:pPr>
              <w:pStyle w:val="Compact"/>
              <w:jc w:val="left"/>
            </w:pPr>
            <w:r>
              <w:t xml:space="preserve">~82%</w:t>
            </w:r>
          </w:p>
        </w:tc>
      </w:tr>
      <w:tr>
        <w:tc>
          <w:tcPr/>
          <w:p>
            <w:pPr>
              <w:pStyle w:val="Compact"/>
              <w:jc w:val="left"/>
            </w:pPr>
            <w:r>
              <w:t xml:space="preserve">DAI</w:t>
            </w:r>
          </w:p>
        </w:tc>
        <w:tc>
          <w:tcPr/>
          <w:p>
            <w:pPr>
              <w:pStyle w:val="Compact"/>
              <w:jc w:val="left"/>
            </w:pPr>
            <w:r>
              <w:t xml:space="preserve">Digital adoption (website presence, Tier-1 binary)</w:t>
            </w:r>
          </w:p>
        </w:tc>
        <w:tc>
          <w:tcPr/>
          <w:p>
            <w:pPr>
              <w:pStyle w:val="Compact"/>
              <w:jc w:val="left"/>
            </w:pPr>
            <w:r>
              <w:t xml:space="preserve">c22b</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r>
        <w:t xml:space="preserve"> </w:t>
      </w:r>
      <w:r>
        <w:t xml:space="preserve">(50-economy canonical frame; two-way FE economy+year; CRV1 by economy)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right"/>
            </w:pPr>
            <w:r>
              <w:t xml:space="preserve">N</w:t>
            </w:r>
          </w:p>
        </w:tc>
        <w:tc>
          <w:tcPr/>
          <w:p>
            <w:pPr>
              <w:pStyle w:val="Compact"/>
              <w:jc w:val="right"/>
            </w:pPr>
            <w:r>
              <w:t xml:space="preserve">Turning point (%)</w:t>
            </w:r>
          </w:p>
        </w:tc>
        <w:tc>
          <w:tcPr/>
          <w:p>
            <w:pPr>
              <w:pStyle w:val="Compact"/>
              <w:jc w:val="right"/>
            </w:pPr>
            <w:r>
              <w:t xml:space="preserve">LM p</w:t>
            </w:r>
          </w:p>
        </w:tc>
        <w:tc>
          <w:tcPr/>
          <w:p>
            <w:pPr>
              <w:pStyle w:val="Compact"/>
              <w:jc w:val="left"/>
            </w:pPr>
            <w:r>
              <w:t xml:space="preserve">Key additions</w:t>
            </w:r>
          </w:p>
        </w:tc>
      </w:tr>
      <w:tr>
        <w:tc>
          <w:tcPr/>
          <w:p>
            <w:pPr>
              <w:pStyle w:val="Compact"/>
              <w:jc w:val="left"/>
            </w:pPr>
            <w:r>
              <w:t xml:space="preserve">M1</w:t>
            </w:r>
          </w:p>
        </w:tc>
        <w:tc>
          <w:tcPr/>
          <w:p>
            <w:pPr>
              <w:pStyle w:val="Compact"/>
              <w:jc w:val="right"/>
            </w:pPr>
            <w:r>
              <w:t xml:space="preserve">81,022</w:t>
            </w:r>
          </w:p>
        </w:tc>
        <w:tc>
          <w:tcPr/>
          <w:p>
            <w:pPr>
              <w:pStyle w:val="Compact"/>
              <w:jc w:val="right"/>
            </w:pPr>
            <w:r>
              <w:t xml:space="preserve">—</w:t>
            </w:r>
          </w:p>
        </w:tc>
        <w:tc>
          <w:tcPr/>
          <w:p>
            <w:pPr>
              <w:pStyle w:val="Compact"/>
              <w:jc w:val="right"/>
            </w:pPr>
            <w:r>
              <w:t xml:space="preserve">—</w:t>
            </w:r>
          </w:p>
        </w:tc>
        <w:tc>
          <w:tcPr/>
          <w:p>
            <w:pPr>
              <w:pStyle w:val="Compact"/>
              <w:jc w:val="left"/>
            </w:pPr>
            <w:r>
              <w:t xml:space="preserve">FSTS linear (β = +0.219**)</w:t>
            </w:r>
          </w:p>
        </w:tc>
      </w:tr>
      <w:tr>
        <w:tc>
          <w:tcPr/>
          <w:p>
            <w:pPr>
              <w:pStyle w:val="Compact"/>
              <w:jc w:val="left"/>
            </w:pPr>
            <w:r>
              <w:t xml:space="preserve">M2</w:t>
            </w:r>
          </w:p>
        </w:tc>
        <w:tc>
          <w:tcPr/>
          <w:p>
            <w:pPr>
              <w:pStyle w:val="Compact"/>
              <w:jc w:val="right"/>
            </w:pPr>
            <w:r>
              <w:t xml:space="preserve">81,022</w:t>
            </w:r>
          </w:p>
        </w:tc>
        <w:tc>
          <w:tcPr/>
          <w:p>
            <w:pPr>
              <w:pStyle w:val="Compact"/>
              <w:jc w:val="right"/>
            </w:pPr>
            <w:r>
              <w:rPr>
                <w:bCs/>
                <w:b/>
              </w:rPr>
              <w:t xml:space="preserve">51.5</w:t>
            </w:r>
          </w:p>
        </w:tc>
        <w:tc>
          <w:tcPr/>
          <w:p>
            <w:pPr>
              <w:pStyle w:val="Compact"/>
              <w:jc w:val="right"/>
            </w:pPr>
            <w:r>
              <w:t xml:space="preserve">&lt;.001</w:t>
            </w:r>
          </w:p>
        </w:tc>
        <w:tc>
          <w:tcPr/>
          <w:p>
            <w:pPr>
              <w:pStyle w:val="Compact"/>
              <w:jc w:val="left"/>
            </w:pPr>
            <w:r>
              <w:t xml:space="preserve">FSTS + FSTS² (anchor)</w:t>
            </w:r>
          </w:p>
        </w:tc>
      </w:tr>
      <w:tr>
        <w:tc>
          <w:tcPr/>
          <w:p>
            <w:pPr>
              <w:pStyle w:val="Compact"/>
              <w:jc w:val="left"/>
            </w:pPr>
            <w:r>
              <w:t xml:space="preserve">M3</w:t>
            </w:r>
          </w:p>
        </w:tc>
        <w:tc>
          <w:tcPr/>
          <w:p>
            <w:pPr>
              <w:pStyle w:val="Compact"/>
              <w:jc w:val="right"/>
            </w:pPr>
            <w:r>
              <w:t xml:space="preserve">78,970</w:t>
            </w:r>
          </w:p>
        </w:tc>
        <w:tc>
          <w:tcPr/>
          <w:p>
            <w:pPr>
              <w:pStyle w:val="Compact"/>
              <w:jc w:val="right"/>
            </w:pPr>
            <w:r>
              <w:rPr>
                <w:bCs/>
                <w:b/>
              </w:rPr>
              <w:t xml:space="preserve">43.8</w:t>
            </w:r>
          </w:p>
        </w:tc>
        <w:tc>
          <w:tcPr/>
          <w:p>
            <w:pPr>
              <w:pStyle w:val="Compact"/>
              <w:jc w:val="right"/>
            </w:pPr>
            <w:r>
              <w:t xml:space="preserve">&lt;.001</w:t>
            </w:r>
          </w:p>
        </w:tc>
        <w:tc>
          <w:tcPr/>
          <w:p>
            <w:pPr>
              <w:pStyle w:val="Compact"/>
              <w:jc w:val="left"/>
            </w:pPr>
            <w:r>
              <w:t xml:space="preserve">M2 + ownership, age, size, female-owner</w:t>
            </w:r>
          </w:p>
        </w:tc>
      </w:tr>
      <w:tr>
        <w:tc>
          <w:tcPr/>
          <w:p>
            <w:pPr>
              <w:pStyle w:val="Compact"/>
              <w:jc w:val="left"/>
            </w:pPr>
            <w:r>
              <w:t xml:space="preserve">M4</w:t>
            </w:r>
          </w:p>
        </w:tc>
        <w:tc>
          <w:tcPr/>
          <w:p>
            <w:pPr>
              <w:pStyle w:val="Compact"/>
              <w:jc w:val="right"/>
            </w:pPr>
            <w:r>
              <w:t xml:space="preserve">79,080</w:t>
            </w:r>
          </w:p>
        </w:tc>
        <w:tc>
          <w:tcPr/>
          <w:p>
            <w:pPr>
              <w:pStyle w:val="Compact"/>
              <w:jc w:val="right"/>
            </w:pPr>
            <w:r>
              <w:rPr>
                <w:bCs/>
                <w:b/>
              </w:rPr>
              <w:t xml:space="preserve">43.6</w:t>
            </w:r>
          </w:p>
        </w:tc>
        <w:tc>
          <w:tcPr/>
          <w:p>
            <w:pPr>
              <w:pStyle w:val="Compact"/>
              <w:jc w:val="right"/>
            </w:pPr>
            <w:r>
              <w:t xml:space="preserve">&lt;.001</w:t>
            </w:r>
          </w:p>
        </w:tc>
        <w:tc>
          <w:tcPr/>
          <w:p>
            <w:pPr>
              <w:pStyle w:val="Compact"/>
              <w:jc w:val="left"/>
            </w:pPr>
            <w:r>
              <w:t xml:space="preserve">M3-block + TCI + DAI (headline)</w:t>
            </w:r>
          </w:p>
        </w:tc>
      </w:tr>
      <w:tr>
        <w:tc>
          <w:tcPr/>
          <w:p>
            <w:pPr>
              <w:pStyle w:val="Compact"/>
              <w:jc w:val="left"/>
            </w:pPr>
            <w:r>
              <w:t xml:space="preserve">M5</w:t>
            </w:r>
          </w:p>
        </w:tc>
        <w:tc>
          <w:tcPr/>
          <w:p>
            <w:pPr>
              <w:pStyle w:val="Compact"/>
              <w:jc w:val="right"/>
            </w:pPr>
            <w:r>
              <w:t xml:space="preserve">79,080</w:t>
            </w:r>
          </w:p>
        </w:tc>
        <w:tc>
          <w:tcPr/>
          <w:p>
            <w:pPr>
              <w:pStyle w:val="Compact"/>
              <w:jc w:val="right"/>
            </w:pPr>
            <w:r>
              <w:t xml:space="preserve">44.0</w:t>
            </w:r>
          </w:p>
        </w:tc>
        <w:tc>
          <w:tcPr/>
          <w:p>
            <w:pPr>
              <w:pStyle w:val="Compact"/>
              <w:jc w:val="right"/>
            </w:pPr>
            <w:r>
              <w:t xml:space="preserve">&lt;.001</w:t>
            </w:r>
          </w:p>
        </w:tc>
        <w:tc>
          <w:tcPr/>
          <w:p>
            <w:pPr>
              <w:pStyle w:val="Compact"/>
              <w:jc w:val="left"/>
            </w:pPr>
            <w:r>
              <w:t xml:space="preserve">M4 + FSTS×TCI, FSTS²×TCI</w:t>
            </w:r>
          </w:p>
        </w:tc>
      </w:tr>
      <w:tr>
        <w:tc>
          <w:tcPr/>
          <w:p>
            <w:pPr>
              <w:pStyle w:val="Compact"/>
              <w:jc w:val="left"/>
            </w:pPr>
            <w:r>
              <w:t xml:space="preserve">M6</w:t>
            </w:r>
          </w:p>
        </w:tc>
        <w:tc>
          <w:tcPr/>
          <w:p>
            <w:pPr>
              <w:pStyle w:val="Compact"/>
              <w:jc w:val="right"/>
            </w:pPr>
            <w:r>
              <w:t xml:space="preserve">79,080</w:t>
            </w:r>
          </w:p>
        </w:tc>
        <w:tc>
          <w:tcPr/>
          <w:p>
            <w:pPr>
              <w:pStyle w:val="Compact"/>
              <w:jc w:val="right"/>
            </w:pPr>
            <w:r>
              <w:t xml:space="preserve">47.1</w:t>
            </w:r>
          </w:p>
        </w:tc>
        <w:tc>
          <w:tcPr/>
          <w:p>
            <w:pPr>
              <w:pStyle w:val="Compact"/>
              <w:jc w:val="right"/>
            </w:pPr>
            <w:r>
              <w:t xml:space="preserve">&lt;.001</w:t>
            </w:r>
          </w:p>
        </w:tc>
        <w:tc>
          <w:tcPr/>
          <w:p>
            <w:pPr>
              <w:pStyle w:val="Compact"/>
              <w:jc w:val="left"/>
            </w:pPr>
            <w:r>
              <w:t xml:space="preserve">M4 + FSTS×DAI, FSTS²×DAI</w:t>
            </w:r>
          </w:p>
        </w:tc>
      </w:tr>
      <w:tr>
        <w:tc>
          <w:tcPr/>
          <w:p>
            <w:pPr>
              <w:pStyle w:val="Compact"/>
              <w:jc w:val="left"/>
            </w:pPr>
            <w:r>
              <w:t xml:space="preserve">M7</w:t>
            </w:r>
          </w:p>
        </w:tc>
        <w:tc>
          <w:tcPr/>
          <w:p>
            <w:pPr>
              <w:pStyle w:val="Compact"/>
              <w:jc w:val="right"/>
            </w:pPr>
            <w:r>
              <w:t xml:space="preserve">75,029</w:t>
            </w:r>
          </w:p>
        </w:tc>
        <w:tc>
          <w:tcPr/>
          <w:p>
            <w:pPr>
              <w:pStyle w:val="Compact"/>
              <w:jc w:val="right"/>
            </w:pPr>
            <w:r>
              <w:t xml:space="preserve">44.0</w:t>
            </w:r>
          </w:p>
        </w:tc>
        <w:tc>
          <w:tcPr/>
          <w:p>
            <w:pPr>
              <w:pStyle w:val="Compact"/>
              <w:jc w:val="right"/>
            </w:pPr>
            <w:r>
              <w:t xml:space="preserve">&lt;.001</w:t>
            </w:r>
          </w:p>
        </w:tc>
        <w:tc>
          <w:tcPr/>
          <w:p>
            <w:pPr>
              <w:pStyle w:val="Compact"/>
              <w:jc w:val="left"/>
            </w:pPr>
            <w:r>
              <w:t xml:space="preserve">M4 + manager experience, female manager</w:t>
            </w:r>
          </w:p>
        </w:tc>
      </w:tr>
      <w:tr>
        <w:tc>
          <w:tcPr/>
          <w:p>
            <w:pPr>
              <w:pStyle w:val="Compact"/>
              <w:jc w:val="left"/>
            </w:pPr>
            <w:r>
              <w:t xml:space="preserve">M8</w:t>
            </w:r>
          </w:p>
        </w:tc>
        <w:tc>
          <w:tcPr/>
          <w:p>
            <w:pPr>
              <w:pStyle w:val="Compact"/>
              <w:jc w:val="right"/>
            </w:pPr>
            <w:r>
              <w:t xml:space="preserve">79,080</w:t>
            </w:r>
          </w:p>
        </w:tc>
        <w:tc>
          <w:tcPr/>
          <w:p>
            <w:pPr>
              <w:pStyle w:val="Compact"/>
              <w:jc w:val="right"/>
            </w:pPr>
            <w:r>
              <w:t xml:space="preserve">(73.6)</w:t>
            </w:r>
          </w:p>
        </w:tc>
        <w:tc>
          <w:tcPr/>
          <w:p>
            <w:pPr>
              <w:pStyle w:val="Compact"/>
              <w:jc w:val="right"/>
            </w:pPr>
            <w:r>
              <w:t xml:space="preserve">n.s.</w:t>
            </w:r>
          </w:p>
        </w:tc>
        <w:tc>
          <w:tcPr/>
          <w:p>
            <w:pPr>
              <w:pStyle w:val="Compact"/>
              <w:jc w:val="left"/>
            </w:pPr>
            <w:r>
              <w:t xml:space="preserve">M4 + FSTS×ICRV, FSTS²×ICRV (interactions NS)</w:t>
            </w:r>
          </w:p>
        </w:tc>
      </w:tr>
    </w:tbl>
    <w:p>
      <w:pPr>
        <w:pStyle w:val="BodyText"/>
      </w:pPr>
      <w:r>
        <w:rPr>
          <w:iCs/>
          <w:i/>
        </w:rPr>
        <w:t xml:space="preserve">Note.</w:t>
      </w:r>
      <w:r>
        <w:t xml:space="preserve"> </w:t>
      </w:r>
      <w:r>
        <w:t xml:space="preserve">Turning point from −β₁/(2β₂) + mean(FSTS), confirmed by the Lind–Mehlum (2010) test (LM p). All models carry two-way (economy, year) fixed effects throughout; SEs clustered by economy. In M8 the ICRV main effect is absorbed by economy fixed effects and the FSTS×ICRV interactions are not significant, so the pooled turning point is not identified; the institutional structure appears instead in the per-ICRV turning points (Table 4). Reproducible via</w:t>
      </w:r>
      <w:r>
        <w:t xml:space="preserve"> </w:t>
      </w:r>
      <w:r>
        <w:rPr>
          <w:rStyle w:val="VerbatimChar"/>
        </w:rPr>
        <w:t xml:space="preserve">scripts/p7_full_ladder.py</w:t>
      </w:r>
      <w:r>
        <w:t xml:space="preserve">.</w:t>
      </w:r>
    </w:p>
    <w:p>
      <w:pPr>
        <w:pStyle w:val="BodyText"/>
      </w:pPr>
      <w:r>
        <w:rPr>
          <w:bCs/>
          <w:b/>
        </w:rPr>
        <w:t xml:space="preserve">Table 3: Key coefficient estimates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Term</w:t>
            </w:r>
          </w:p>
        </w:tc>
        <w:tc>
          <w:tcPr/>
          <w:p>
            <w:pPr>
              <w:pStyle w:val="Compact"/>
              <w:jc w:val="right"/>
            </w:pPr>
            <w:r>
              <w:t xml:space="preserve">M2</w:t>
            </w:r>
          </w:p>
        </w:tc>
        <w:tc>
          <w:tcPr/>
          <w:p>
            <w:pPr>
              <w:pStyle w:val="Compact"/>
              <w:jc w:val="right"/>
            </w:pPr>
            <w:r>
              <w:t xml:space="preserve">M4</w:t>
            </w:r>
          </w:p>
        </w:tc>
        <w:tc>
          <w:tcPr/>
          <w:p>
            <w:pPr>
              <w:pStyle w:val="Compact"/>
              <w:jc w:val="right"/>
            </w:pPr>
            <w:r>
              <w:t xml:space="preserve">M5</w:t>
            </w:r>
          </w:p>
        </w:tc>
        <w:tc>
          <w:tcPr/>
          <w:p>
            <w:pPr>
              <w:pStyle w:val="Compact"/>
              <w:jc w:val="right"/>
            </w:pPr>
            <w:r>
              <w:t xml:space="preserve">M6</w:t>
            </w:r>
          </w:p>
        </w:tc>
        <w:tc>
          <w:tcPr/>
          <w:p>
            <w:pPr>
              <w:pStyle w:val="Compact"/>
              <w:jc w:val="right"/>
            </w:pPr>
            <w:r>
              <w:t xml:space="preserve">M7</w:t>
            </w:r>
          </w:p>
        </w:tc>
        <w:tc>
          <w:tcPr/>
          <w:p>
            <w:pPr>
              <w:pStyle w:val="Compact"/>
              <w:jc w:val="right"/>
            </w:pPr>
            <w:r>
              <w:t xml:space="preserve">M8</w:t>
            </w:r>
          </w:p>
        </w:tc>
      </w:tr>
      <w:tr>
        <w:tc>
          <w:tcPr/>
          <w:p>
            <w:pPr>
              <w:pStyle w:val="Compact"/>
              <w:jc w:val="left"/>
            </w:pPr>
            <w:r>
              <w:t xml:space="preserve">FSTS (β₁)</w:t>
            </w:r>
          </w:p>
        </w:tc>
        <w:tc>
          <w:tcPr/>
          <w:p>
            <w:pPr>
              <w:pStyle w:val="Compact"/>
              <w:jc w:val="right"/>
            </w:pPr>
            <w:r>
              <w:t xml:space="preserve">+1.188***</w:t>
            </w:r>
          </w:p>
        </w:tc>
        <w:tc>
          <w:tcPr/>
          <w:p>
            <w:pPr>
              <w:pStyle w:val="Compact"/>
              <w:jc w:val="right"/>
            </w:pPr>
            <w:r>
              <w:t xml:space="preserve">+0.499***</w:t>
            </w:r>
          </w:p>
        </w:tc>
        <w:tc>
          <w:tcPr/>
          <w:p>
            <w:pPr>
              <w:pStyle w:val="Compact"/>
              <w:jc w:val="right"/>
            </w:pPr>
            <w:r>
              <w:t xml:space="preserve">+0.457***</w:t>
            </w:r>
          </w:p>
        </w:tc>
        <w:tc>
          <w:tcPr/>
          <w:p>
            <w:pPr>
              <w:pStyle w:val="Compact"/>
              <w:jc w:val="right"/>
            </w:pPr>
            <w:r>
              <w:t xml:space="preserve">+0.704***</w:t>
            </w:r>
          </w:p>
        </w:tc>
        <w:tc>
          <w:tcPr/>
          <w:p>
            <w:pPr>
              <w:pStyle w:val="Compact"/>
              <w:jc w:val="right"/>
            </w:pPr>
            <w:r>
              <w:t xml:space="preserve">+0.505***</w:t>
            </w:r>
          </w:p>
        </w:tc>
        <w:tc>
          <w:tcPr/>
          <w:p>
            <w:pPr>
              <w:pStyle w:val="Compact"/>
              <w:jc w:val="right"/>
            </w:pPr>
            <w:r>
              <w:t xml:space="preserve">+0.806†</w:t>
            </w:r>
          </w:p>
        </w:tc>
      </w:tr>
      <w:tr>
        <w:tc>
          <w:tcPr/>
          <w:p>
            <w:pPr>
              <w:pStyle w:val="Compact"/>
              <w:jc w:val="left"/>
            </w:pPr>
            <w:r>
              <w:t xml:space="preserve">FSTS² (β₂)</w:t>
            </w:r>
          </w:p>
        </w:tc>
        <w:tc>
          <w:tcPr/>
          <w:p>
            <w:pPr>
              <w:pStyle w:val="Compact"/>
              <w:jc w:val="right"/>
            </w:pPr>
            <w:r>
              <w:t xml:space="preserve">−1.398***</w:t>
            </w:r>
          </w:p>
        </w:tc>
        <w:tc>
          <w:tcPr/>
          <w:p>
            <w:pPr>
              <w:pStyle w:val="Compact"/>
              <w:jc w:val="right"/>
            </w:pPr>
            <w:r>
              <w:t xml:space="preserve">−0.721***</w:t>
            </w:r>
          </w:p>
        </w:tc>
        <w:tc>
          <w:tcPr/>
          <w:p>
            <w:pPr>
              <w:pStyle w:val="Compact"/>
              <w:jc w:val="right"/>
            </w:pPr>
            <w:r>
              <w:t xml:space="preserve">−0.652**</w:t>
            </w:r>
          </w:p>
        </w:tc>
        <w:tc>
          <w:tcPr/>
          <w:p>
            <w:pPr>
              <w:pStyle w:val="Compact"/>
              <w:jc w:val="right"/>
            </w:pPr>
            <w:r>
              <w:t xml:space="preserve">−0.924***</w:t>
            </w:r>
          </w:p>
        </w:tc>
        <w:tc>
          <w:tcPr/>
          <w:p>
            <w:pPr>
              <w:pStyle w:val="Compact"/>
              <w:jc w:val="right"/>
            </w:pPr>
            <w:r>
              <w:t xml:space="preserve">−0.720***</w:t>
            </w:r>
          </w:p>
        </w:tc>
        <w:tc>
          <w:tcPr/>
          <w:p>
            <w:pPr>
              <w:pStyle w:val="Compact"/>
              <w:jc w:val="right"/>
            </w:pPr>
            <w:r>
              <w:t xml:space="preserve">−0.624</w:t>
            </w:r>
          </w:p>
        </w:tc>
      </w:tr>
      <w:tr>
        <w:tc>
          <w:tcPr/>
          <w:p>
            <w:pPr>
              <w:pStyle w:val="Compact"/>
              <w:jc w:val="left"/>
            </w:pPr>
            <w:r>
              <w:t xml:space="preserve">TCI_z</w:t>
            </w:r>
          </w:p>
        </w:tc>
        <w:tc>
          <w:tcPr/>
          <w:p>
            <w:pPr>
              <w:pStyle w:val="Compact"/>
              <w:jc w:val="right"/>
            </w:pPr>
            <w:r>
              <w:t xml:space="preserve">—</w:t>
            </w:r>
          </w:p>
        </w:tc>
        <w:tc>
          <w:tcPr/>
          <w:p>
            <w:pPr>
              <w:pStyle w:val="Compact"/>
              <w:jc w:val="right"/>
            </w:pPr>
            <w:r>
              <w:t xml:space="preserve">+0.108***</w:t>
            </w:r>
          </w:p>
        </w:tc>
        <w:tc>
          <w:tcPr/>
          <w:p>
            <w:pPr>
              <w:pStyle w:val="Compact"/>
              <w:jc w:val="right"/>
            </w:pPr>
            <w:r>
              <w:t xml:space="preserve">+0.115***</w:t>
            </w:r>
          </w:p>
        </w:tc>
        <w:tc>
          <w:tcPr/>
          <w:p>
            <w:pPr>
              <w:pStyle w:val="Compact"/>
              <w:jc w:val="right"/>
            </w:pPr>
            <w:r>
              <w:t xml:space="preserve">+0.108***</w:t>
            </w:r>
          </w:p>
        </w:tc>
        <w:tc>
          <w:tcPr/>
          <w:p>
            <w:pPr>
              <w:pStyle w:val="Compact"/>
              <w:jc w:val="right"/>
            </w:pPr>
            <w:r>
              <w:t xml:space="preserve">+0.108***</w:t>
            </w:r>
          </w:p>
        </w:tc>
        <w:tc>
          <w:tcPr/>
          <w:p>
            <w:pPr>
              <w:pStyle w:val="Compact"/>
              <w:jc w:val="right"/>
            </w:pPr>
            <w:r>
              <w:t xml:space="preserve">+0.107***</w:t>
            </w:r>
          </w:p>
        </w:tc>
      </w:tr>
      <w:tr>
        <w:tc>
          <w:tcPr/>
          <w:p>
            <w:pPr>
              <w:pStyle w:val="Compact"/>
              <w:jc w:val="left"/>
            </w:pPr>
            <w:r>
              <w:t xml:space="preserve">DAI</w:t>
            </w:r>
          </w:p>
        </w:tc>
        <w:tc>
          <w:tcPr/>
          <w:p>
            <w:pPr>
              <w:pStyle w:val="Compact"/>
              <w:jc w:val="right"/>
            </w:pPr>
            <w:r>
              <w:t xml:space="preserve">—</w:t>
            </w:r>
          </w:p>
        </w:tc>
        <w:tc>
          <w:tcPr/>
          <w:p>
            <w:pPr>
              <w:pStyle w:val="Compact"/>
              <w:jc w:val="right"/>
            </w:pPr>
            <w:r>
              <w:t xml:space="preserve">+0.219***</w:t>
            </w:r>
          </w:p>
        </w:tc>
        <w:tc>
          <w:tcPr/>
          <w:p>
            <w:pPr>
              <w:pStyle w:val="Compact"/>
              <w:jc w:val="right"/>
            </w:pPr>
            <w:r>
              <w:t xml:space="preserve">+0.219***</w:t>
            </w:r>
          </w:p>
        </w:tc>
        <w:tc>
          <w:tcPr/>
          <w:p>
            <w:pPr>
              <w:pStyle w:val="Compact"/>
              <w:jc w:val="right"/>
            </w:pPr>
            <w:r>
              <w:t xml:space="preserve">+0.201***</w:t>
            </w:r>
          </w:p>
        </w:tc>
        <w:tc>
          <w:tcPr/>
          <w:p>
            <w:pPr>
              <w:pStyle w:val="Compact"/>
              <w:jc w:val="right"/>
            </w:pPr>
            <w:r>
              <w:t xml:space="preserve">+0.218***</w:t>
            </w:r>
          </w:p>
        </w:tc>
        <w:tc>
          <w:tcPr/>
          <w:p>
            <w:pPr>
              <w:pStyle w:val="Compact"/>
              <w:jc w:val="right"/>
            </w:pPr>
            <w:r>
              <w:t xml:space="preserve">+0.220***</w:t>
            </w:r>
          </w:p>
        </w:tc>
      </w:tr>
      <w:tr>
        <w:tc>
          <w:tcPr/>
          <w:p>
            <w:pPr>
              <w:pStyle w:val="Compact"/>
              <w:jc w:val="left"/>
            </w:pPr>
            <w:r>
              <w:t xml:space="preserve">FSTS×TCI</w:t>
            </w:r>
          </w:p>
        </w:tc>
        <w:tc>
          <w:tcPr/>
          <w:p>
            <w:pPr>
              <w:pStyle w:val="Compact"/>
              <w:jc w:val="right"/>
            </w:pPr>
            <w:r>
              <w:t xml:space="preserve">—</w:t>
            </w:r>
          </w:p>
        </w:tc>
        <w:tc>
          <w:tcPr/>
          <w:p>
            <w:pPr>
              <w:pStyle w:val="Compact"/>
              <w:jc w:val="right"/>
            </w:pPr>
            <w:r>
              <w:t xml:space="preserve">—</w:t>
            </w:r>
          </w:p>
        </w:tc>
        <w:tc>
          <w:tcPr/>
          <w:p>
            <w:pPr>
              <w:pStyle w:val="Compact"/>
              <w:jc w:val="right"/>
            </w:pPr>
            <w:r>
              <w:t xml:space="preserve">+0.068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FSTS²×TCI</w:t>
            </w:r>
          </w:p>
        </w:tc>
        <w:tc>
          <w:tcPr/>
          <w:p>
            <w:pPr>
              <w:pStyle w:val="Compact"/>
              <w:jc w:val="right"/>
            </w:pPr>
            <w:r>
              <w:t xml:space="preserve">—</w:t>
            </w:r>
          </w:p>
        </w:tc>
        <w:tc>
          <w:tcPr/>
          <w:p>
            <w:pPr>
              <w:pStyle w:val="Compact"/>
              <w:jc w:val="right"/>
            </w:pPr>
            <w:r>
              <w:t xml:space="preserve">—</w:t>
            </w:r>
          </w:p>
        </w:tc>
        <w:tc>
          <w:tcPr/>
          <w:p>
            <w:pPr>
              <w:pStyle w:val="Compact"/>
              <w:jc w:val="right"/>
            </w:pPr>
            <w:r>
              <w:t xml:space="preserve">−0.119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FSTS×DAI</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−0.270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FSTS²×DAI</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+0.252</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mgr experience (z)</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+0.002</w:t>
            </w:r>
          </w:p>
        </w:tc>
        <w:tc>
          <w:tcPr/>
          <w:p>
            <w:pPr>
              <w:pStyle w:val="Compact"/>
              <w:jc w:val="right"/>
            </w:pPr>
            <w:r>
              <w:t xml:space="preserve">—</w:t>
            </w:r>
          </w:p>
        </w:tc>
      </w:tr>
      <w:tr>
        <w:tc>
          <w:tcPr/>
          <w:p>
            <w:pPr>
              <w:pStyle w:val="Compact"/>
              <w:jc w:val="left"/>
            </w:pPr>
            <w:r>
              <w:t xml:space="preserve">female manager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−0.104***</w:t>
            </w:r>
          </w:p>
        </w:tc>
        <w:tc>
          <w:tcPr/>
          <w:p>
            <w:pPr>
              <w:pStyle w:val="Compact"/>
              <w:jc w:val="right"/>
            </w:pPr>
            <w:r>
              <w:t xml:space="preserve">—</w:t>
            </w:r>
          </w:p>
        </w:tc>
      </w:tr>
      <w:tr>
        <w:tc>
          <w:tcPr/>
          <w:p>
            <w:pPr>
              <w:pStyle w:val="Compact"/>
              <w:jc w:val="left"/>
            </w:pPr>
            <w:r>
              <w:t xml:space="preserve">FSTS×ICRV</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−0.086</w:t>
            </w:r>
          </w:p>
        </w:tc>
      </w:tr>
      <w:tr>
        <w:tc>
          <w:tcPr/>
          <w:p>
            <w:pPr>
              <w:pStyle w:val="Compact"/>
              <w:jc w:val="left"/>
            </w:pPr>
            <w:r>
              <w:t xml:space="preserve">FSTS²×ICRV</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−0.013</w:t>
            </w:r>
          </w:p>
        </w:tc>
      </w:tr>
      <w:tr>
        <w:tc>
          <w:tcPr/>
          <w:p>
            <w:pPr>
              <w:pStyle w:val="Compact"/>
              <w:jc w:val="left"/>
            </w:pPr>
            <w:r>
              <w:t xml:space="preserve">N</w:t>
            </w:r>
          </w:p>
        </w:tc>
        <w:tc>
          <w:tcPr/>
          <w:p>
            <w:pPr>
              <w:pStyle w:val="Compact"/>
              <w:jc w:val="right"/>
            </w:pPr>
            <w:r>
              <w:t xml:space="preserve">81,022</w:t>
            </w:r>
          </w:p>
        </w:tc>
        <w:tc>
          <w:tcPr/>
          <w:p>
            <w:pPr>
              <w:pStyle w:val="Compact"/>
              <w:jc w:val="right"/>
            </w:pPr>
            <w:r>
              <w:t xml:space="preserve">79,080</w:t>
            </w:r>
          </w:p>
        </w:tc>
        <w:tc>
          <w:tcPr/>
          <w:p>
            <w:pPr>
              <w:pStyle w:val="Compact"/>
              <w:jc w:val="right"/>
            </w:pPr>
            <w:r>
              <w:t xml:space="preserve">79,080</w:t>
            </w:r>
          </w:p>
        </w:tc>
        <w:tc>
          <w:tcPr/>
          <w:p>
            <w:pPr>
              <w:pStyle w:val="Compact"/>
              <w:jc w:val="right"/>
            </w:pPr>
            <w:r>
              <w:t xml:space="preserve">79,080</w:t>
            </w:r>
          </w:p>
        </w:tc>
        <w:tc>
          <w:tcPr/>
          <w:p>
            <w:pPr>
              <w:pStyle w:val="Compact"/>
              <w:jc w:val="right"/>
            </w:pPr>
            <w:r>
              <w:t xml:space="preserve">75,029</w:t>
            </w:r>
          </w:p>
        </w:tc>
        <w:tc>
          <w:tcPr/>
          <w:p>
            <w:pPr>
              <w:pStyle w:val="Compact"/>
              <w:jc w:val="right"/>
            </w:pPr>
            <w:r>
              <w:t xml:space="preserve">79,080</w:t>
            </w:r>
          </w:p>
        </w:tc>
      </w:tr>
    </w:tbl>
    <w:p>
      <w:pPr>
        <w:pStyle w:val="BodyText"/>
      </w:pPr>
      <w:r>
        <w:rPr>
          <w:iCs/>
          <w:i/>
        </w:rPr>
        <w:t xml:space="preserve">Note.</w:t>
      </w:r>
      <w:r>
        <w:t xml:space="preserve"> </w:t>
      </w:r>
      <w:r>
        <w:t xml:space="preserve">Two-way FE (economy, year); SEs clustered by economy. *** p &lt; .001, ** p &lt; .01, * p &lt; .05, † p &lt; .10. Capability (TCI, DAI) carries robust positive level effects throughout; none of the FSTS×capability or FSTS×ICRV interaction terms is significant — the pooled curve is reshaped by neither capability nor a linear institutional gradient. Reproducible via</w:t>
      </w:r>
      <w:r>
        <w:t xml:space="preserve"> </w:t>
      </w:r>
      <w:r>
        <w:rPr>
          <w:rStyle w:val="VerbatimChar"/>
        </w:rPr>
        <w:t xml:space="preserve">scripts/p7_full_ladder.py</w:t>
      </w:r>
      <w:r>
        <w:t xml:space="preserve">.</w:t>
      </w:r>
    </w:p>
    <w:p>
      <w:pPr>
        <w:pStyle w:val="BodyText"/>
      </w:pPr>
      <w:r>
        <w:rPr>
          <w:bCs/>
          <w:b/>
        </w:rPr>
        <w:t xml:space="preserve">Table 4: Turning points within each ICRV regime</w:t>
      </w:r>
      <w:r>
        <w:t xml:space="preserve"> </w:t>
      </w:r>
      <w:r>
        <w:t xml:space="preserve">(capability-adjusted M4 form; two-way FE)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ICRV group</w:t>
            </w:r>
          </w:p>
        </w:tc>
        <w:tc>
          <w:tcPr/>
          <w:p>
            <w:pPr>
              <w:pStyle w:val="Compact"/>
              <w:jc w:val="right"/>
            </w:pPr>
            <w:r>
              <w:t xml:space="preserve">N</w:t>
            </w:r>
          </w:p>
        </w:tc>
        <w:tc>
          <w:tcPr/>
          <w:p>
            <w:pPr>
              <w:pStyle w:val="Compact"/>
              <w:jc w:val="right"/>
            </w:pPr>
            <w:r>
              <w:t xml:space="preserve">β₁</w:t>
            </w:r>
          </w:p>
        </w:tc>
        <w:tc>
          <w:tcPr/>
          <w:p>
            <w:pPr>
              <w:pStyle w:val="Compact"/>
              <w:jc w:val="right"/>
            </w:pPr>
            <w:r>
              <w:t xml:space="preserve">β₂</w:t>
            </w:r>
          </w:p>
        </w:tc>
        <w:tc>
          <w:tcPr/>
          <w:p>
            <w:pPr>
              <w:pStyle w:val="Compact"/>
              <w:jc w:val="right"/>
            </w:pPr>
            <w:r>
              <w:t xml:space="preserve">Turning point (%)</w:t>
            </w:r>
          </w:p>
        </w:tc>
        <w:tc>
          <w:tcPr/>
          <w:p>
            <w:pPr>
              <w:pStyle w:val="Compact"/>
              <w:jc w:val="left"/>
            </w:pPr>
            <w:r>
              <w:t xml:space="preserve">Reading</w:t>
            </w:r>
          </w:p>
        </w:tc>
      </w:tr>
      <w:tr>
        <w:tc>
          <w:tcPr/>
          <w:p>
            <w:pPr>
              <w:pStyle w:val="Compact"/>
              <w:jc w:val="left"/>
            </w:pPr>
            <w:r>
              <w:t xml:space="preserve">I Advanced innovation (incl. Japan)</w:t>
            </w:r>
          </w:p>
        </w:tc>
        <w:tc>
          <w:tcPr/>
          <w:p>
            <w:pPr>
              <w:pStyle w:val="Compact"/>
              <w:jc w:val="right"/>
            </w:pPr>
            <w:r>
              <w:t xml:space="preserve">5,581</w:t>
            </w:r>
          </w:p>
        </w:tc>
        <w:tc>
          <w:tcPr/>
          <w:p>
            <w:pPr>
              <w:pStyle w:val="Compact"/>
              <w:jc w:val="right"/>
            </w:pPr>
            <w:r>
              <w:t xml:space="preserve">+0.707</w:t>
            </w:r>
          </w:p>
        </w:tc>
        <w:tc>
          <w:tcPr/>
          <w:p>
            <w:pPr>
              <w:pStyle w:val="Compact"/>
              <w:jc w:val="right"/>
            </w:pPr>
            <w:r>
              <w:t xml:space="preserve">−0.504</w:t>
            </w:r>
          </w:p>
        </w:tc>
        <w:tc>
          <w:tcPr/>
          <w:p>
            <w:pPr>
              <w:pStyle w:val="Compact"/>
              <w:jc w:val="right"/>
            </w:pPr>
            <w:r>
              <w:t xml:space="preserve">≈ 80</w:t>
            </w:r>
          </w:p>
        </w:tc>
        <w:tc>
          <w:tcPr/>
          <w:p>
            <w:pPr>
              <w:pStyle w:val="Compact"/>
              <w:jc w:val="left"/>
            </w:pPr>
            <w:r>
              <w:t xml:space="preserve">near-linear (beyond range)</w:t>
            </w:r>
          </w:p>
        </w:tc>
      </w:tr>
      <w:tr>
        <w:tc>
          <w:tcPr/>
          <w:p>
            <w:pPr>
              <w:pStyle w:val="Compact"/>
              <w:jc w:val="left"/>
            </w:pPr>
            <w:r>
              <w:t xml:space="preserve">II Advanced resource (GCC)</w:t>
            </w:r>
          </w:p>
        </w:tc>
        <w:tc>
          <w:tcPr/>
          <w:p>
            <w:pPr>
              <w:pStyle w:val="Compact"/>
              <w:jc w:val="right"/>
            </w:pPr>
            <w:r>
              <w:t xml:space="preserve">2,075</w:t>
            </w:r>
          </w:p>
        </w:tc>
        <w:tc>
          <w:tcPr/>
          <w:p>
            <w:pPr>
              <w:pStyle w:val="Compact"/>
              <w:jc w:val="right"/>
            </w:pPr>
            <w:r>
              <w:t xml:space="preserve">+0.774</w:t>
            </w:r>
          </w:p>
        </w:tc>
        <w:tc>
          <w:tcPr/>
          <w:p>
            <w:pPr>
              <w:pStyle w:val="Compact"/>
              <w:jc w:val="right"/>
            </w:pPr>
            <w:r>
              <w:t xml:space="preserve">−0.730</w:t>
            </w:r>
          </w:p>
        </w:tc>
        <w:tc>
          <w:tcPr/>
          <w:p>
            <w:pPr>
              <w:pStyle w:val="Compact"/>
              <w:jc w:val="right"/>
            </w:pPr>
            <w:r>
              <w:t xml:space="preserve">56.6</w:t>
            </w:r>
          </w:p>
        </w:tc>
        <w:tc>
          <w:tcPr/>
          <w:p>
            <w:pPr>
              <w:pStyle w:val="Compact"/>
              <w:jc w:val="left"/>
            </w:pPr>
            <w:r>
              <w:t xml:space="preserve">broad inverted-U</w:t>
            </w:r>
          </w:p>
        </w:tc>
      </w:tr>
      <w:tr>
        <w:tc>
          <w:tcPr/>
          <w:p>
            <w:pPr>
              <w:pStyle w:val="Compact"/>
              <w:jc w:val="left"/>
            </w:pPr>
            <w:r>
              <w:t xml:space="preserve">III Upper-middle</w:t>
            </w:r>
          </w:p>
        </w:tc>
        <w:tc>
          <w:tcPr/>
          <w:p>
            <w:pPr>
              <w:pStyle w:val="Compact"/>
              <w:jc w:val="right"/>
            </w:pPr>
            <w:r>
              <w:t xml:space="preserve">12,055</w:t>
            </w:r>
          </w:p>
        </w:tc>
        <w:tc>
          <w:tcPr/>
          <w:p>
            <w:pPr>
              <w:pStyle w:val="Compact"/>
              <w:jc w:val="right"/>
            </w:pPr>
            <w:r>
              <w:t xml:space="preserve">+0.174</w:t>
            </w:r>
          </w:p>
        </w:tc>
        <w:tc>
          <w:tcPr/>
          <w:p>
            <w:pPr>
              <w:pStyle w:val="Compact"/>
              <w:jc w:val="right"/>
            </w:pPr>
            <w:r>
              <w:t xml:space="preserve">−0.189</w:t>
            </w:r>
          </w:p>
        </w:tc>
        <w:tc>
          <w:tcPr/>
          <w:p>
            <w:pPr>
              <w:pStyle w:val="Compact"/>
              <w:jc w:val="right"/>
            </w:pPr>
            <w:r>
              <w:t xml:space="preserve">56.4</w:t>
            </w:r>
          </w:p>
        </w:tc>
        <w:tc>
          <w:tcPr/>
          <w:p>
            <w:pPr>
              <w:pStyle w:val="Compact"/>
              <w:jc w:val="left"/>
            </w:pPr>
            <w:r>
              <w:t xml:space="preserve">weak/flat</w:t>
            </w:r>
          </w:p>
        </w:tc>
      </w:tr>
      <w:tr>
        <w:tc>
          <w:tcPr/>
          <w:p>
            <w:pPr>
              <w:pStyle w:val="Compact"/>
              <w:jc w:val="left"/>
            </w:pPr>
            <w:r>
              <w:t xml:space="preserve">IV Lower-middle transition</w:t>
            </w:r>
          </w:p>
        </w:tc>
        <w:tc>
          <w:tcPr/>
          <w:p>
            <w:pPr>
              <w:pStyle w:val="Compact"/>
              <w:jc w:val="right"/>
            </w:pPr>
            <w:r>
              <w:t xml:space="preserve">42,094</w:t>
            </w:r>
          </w:p>
        </w:tc>
        <w:tc>
          <w:tcPr/>
          <w:p>
            <w:pPr>
              <w:pStyle w:val="Compact"/>
              <w:jc w:val="right"/>
            </w:pPr>
            <w:r>
              <w:t xml:space="preserve">+0.689</w:t>
            </w:r>
          </w:p>
        </w:tc>
        <w:tc>
          <w:tcPr/>
          <w:p>
            <w:pPr>
              <w:pStyle w:val="Compact"/>
              <w:jc w:val="right"/>
            </w:pPr>
            <w:r>
              <w:t xml:space="preserve">−1.012</w:t>
            </w:r>
          </w:p>
        </w:tc>
        <w:tc>
          <w:tcPr/>
          <w:p>
            <w:pPr>
              <w:pStyle w:val="Compact"/>
              <w:jc w:val="right"/>
            </w:pPr>
            <w:r>
              <w:rPr>
                <w:bCs/>
                <w:b/>
              </w:rPr>
              <w:t xml:space="preserve">≈ 43</w:t>
            </w:r>
          </w:p>
        </w:tc>
        <w:tc>
          <w:tcPr/>
          <w:p>
            <w:pPr>
              <w:pStyle w:val="Compact"/>
              <w:jc w:val="left"/>
            </w:pPr>
            <w:r>
              <w:t xml:space="preserve">sharp inverted-U</w:t>
            </w:r>
          </w:p>
        </w:tc>
      </w:tr>
      <w:tr>
        <w:tc>
          <w:tcPr/>
          <w:p>
            <w:pPr>
              <w:pStyle w:val="Compact"/>
              <w:jc w:val="left"/>
            </w:pPr>
            <w:r>
              <w:t xml:space="preserve">V Emerging</w:t>
            </w:r>
          </w:p>
        </w:tc>
        <w:tc>
          <w:tcPr/>
          <w:p>
            <w:pPr>
              <w:pStyle w:val="Compact"/>
              <w:jc w:val="right"/>
            </w:pPr>
            <w:r>
              <w:t xml:space="preserve">15,457</w:t>
            </w:r>
          </w:p>
        </w:tc>
        <w:tc>
          <w:tcPr/>
          <w:p>
            <w:pPr>
              <w:pStyle w:val="Compact"/>
              <w:jc w:val="right"/>
            </w:pPr>
            <w:r>
              <w:t xml:space="preserve">+0.235</w:t>
            </w:r>
          </w:p>
        </w:tc>
        <w:tc>
          <w:tcPr/>
          <w:p>
            <w:pPr>
              <w:pStyle w:val="Compact"/>
              <w:jc w:val="right"/>
            </w:pPr>
            <w:r>
              <w:t xml:space="preserve">−0.455</w:t>
            </w:r>
          </w:p>
        </w:tc>
        <w:tc>
          <w:tcPr/>
          <w:p>
            <w:pPr>
              <w:pStyle w:val="Compact"/>
              <w:jc w:val="right"/>
            </w:pPr>
            <w:r>
              <w:t xml:space="preserve">36.8</w:t>
            </w:r>
          </w:p>
        </w:tc>
        <w:tc>
          <w:tcPr/>
          <w:p>
            <w:pPr>
              <w:pStyle w:val="Compact"/>
              <w:jc w:val="left"/>
            </w:pPr>
            <w:r>
              <w:t xml:space="preserve">dissolving</w:t>
            </w:r>
          </w:p>
        </w:tc>
      </w:tr>
      <w:tr>
        <w:tc>
          <w:tcPr/>
          <w:p>
            <w:pPr>
              <w:pStyle w:val="Compact"/>
              <w:jc w:val="left"/>
            </w:pPr>
            <w:r>
              <w:t xml:space="preserve">VI Pacific SIDS</w:t>
            </w:r>
          </w:p>
        </w:tc>
        <w:tc>
          <w:tcPr/>
          <w:p>
            <w:pPr>
              <w:pStyle w:val="Compact"/>
              <w:jc w:val="right"/>
            </w:pPr>
            <w:r>
              <w:t xml:space="preserve">1,818</w:t>
            </w:r>
          </w:p>
        </w:tc>
        <w:tc>
          <w:tcPr/>
          <w:p>
            <w:pPr>
              <w:pStyle w:val="Compact"/>
              <w:jc w:val="right"/>
            </w:pPr>
            <w:r>
              <w:t xml:space="preserve">−0.681</w:t>
            </w:r>
          </w:p>
        </w:tc>
        <w:tc>
          <w:tcPr/>
          <w:p>
            <w:pPr>
              <w:pStyle w:val="Compact"/>
              <w:jc w:val="right"/>
            </w:pPr>
            <w:r>
              <w:t xml:space="preserve">+0.870</w:t>
            </w:r>
          </w:p>
        </w:tc>
        <w:tc>
          <w:tcPr/>
          <w:p>
            <w:pPr>
              <w:pStyle w:val="Compact"/>
              <w:jc w:val="right"/>
            </w:pPr>
            <w:r>
              <w:t xml:space="preserve">—</w:t>
            </w:r>
          </w:p>
        </w:tc>
        <w:tc>
          <w:tcPr/>
          <w:p>
            <w:pPr>
              <w:pStyle w:val="Compact"/>
              <w:jc w:val="left"/>
            </w:pPr>
            <w:r>
              <w:t xml:space="preserve">no inverted-U (FIP)</w:t>
            </w:r>
          </w:p>
        </w:tc>
      </w:tr>
    </w:tbl>
    <w:p>
      <w:pPr>
        <w:pStyle w:val="BodyText"/>
      </w:pPr>
      <w:r>
        <w:rPr>
          <w:iCs/>
          <w:i/>
        </w:rPr>
        <w:t xml:space="preserve">Note.</w:t>
      </w:r>
      <w:r>
        <w:t xml:space="preserve"> </w:t>
      </w:r>
      <w:r>
        <w:t xml:space="preserve">Within-group quadratic with controls and two-way FE. The three-zone structure (sharp in the transition regime, near-linear at the top, dissolving at the bottom) is the paper's central institutional finding. Consistent with the dissertation's canonical per-ICRV values.</w:t>
      </w:r>
    </w:p>
    <w:p>
      <w:r>
        <w:pict>
          <v:rect style="width:0;height:1.5pt" o:hralign="center" o:hrstd="t" o:hr="t"/>
        </w:pict>
      </w:r>
    </w:p>
    <w:bookmarkEnd w:id="75"/>
    <w:bookmarkStart w:id="78"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rPr>
          <w:iCs/>
          <w:i/>
        </w:rPr>
        <w:t xml:space="preserve">Corresponding author: Phan Anh Tu, College of Economics, Can Tho University,</w:t>
      </w:r>
      <w:r>
        <w:rPr>
          <w:iCs/>
          <w:i/>
        </w:rPr>
        <w:t xml:space="preserve"> </w:t>
      </w:r>
      <w:hyperlink r:id="rId76">
        <w:r>
          <w:rPr>
            <w:rStyle w:val="Hyperlink"/>
            <w:iCs/>
            <w:i/>
          </w:rPr>
          <w:t xml:space="preserve">patu@ctu.edu.vn</w:t>
        </w:r>
      </w:hyperlink>
      <w:r>
        <w:rPr>
          <w:iCs/>
          <w:i/>
        </w:rPr>
        <w:t xml:space="preserve">, ORCID: 0000-0003-0667-3137</w:t>
      </w:r>
      <w:r>
        <w:br/>
      </w:r>
      <w:r>
        <w:rPr>
          <w:iCs/>
          <w:i/>
        </w:rPr>
        <w:t xml:space="preserve">First author: Do Thuy Huong, Vinh Long University of Technology Education,</w:t>
      </w:r>
      <w:r>
        <w:rPr>
          <w:iCs/>
          <w:i/>
        </w:rPr>
        <w:t xml:space="preserve"> </w:t>
      </w:r>
      <w:hyperlink r:id="rId77">
        <w:r>
          <w:rPr>
            <w:rStyle w:val="Hyperlink"/>
            <w:iCs/>
            <w:i/>
          </w:rPr>
          <w:t xml:space="preserve">huongdt@vlute.edu.vn</w:t>
        </w:r>
      </w:hyperlink>
      <w:r>
        <w:rPr>
          <w:iCs/>
          <w:i/>
        </w:rPr>
        <w:t xml:space="preserve">, ORCID: 0000-0002-7711-2487</w:t>
      </w:r>
    </w:p>
    <w:bookmarkEnd w:id="78"/>
    <w:bookmarkEnd w:id="7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2026-06-14T18:31:46Z</dcterms:created>
  <dcterms:modified xsi:type="dcterms:W3CDTF">2026-06-14T18:31:46Z</dcterms:modified>
</cp:coreProperties>
</file>

<file path=docProps/custom.xml><?xml version="1.0" encoding="utf-8"?>
<Properties xmlns="http://schemas.openxmlformats.org/officeDocument/2006/custom-properties" xmlns:vt="http://schemas.openxmlformats.org/officeDocument/2006/docPropsVTypes"/>
</file>