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e1057dabf7101c796f791bc61dc6101f2b6f291"/>
    <w:p>
      <w:pPr>
        <w:pStyle w:val="Heading1"/>
      </w:pPr>
      <w:r>
        <w:t xml:space="preserve">Internationalization and Firm Performance across 50 Asian and Pacific Economies: Institutional Regimes, Digital Capabilities, and Managerial Characteristics as Contingency Factors</w:t>
      </w:r>
    </w:p>
    <w:p>
      <w:r>
        <w:pict>
          <v:rect style="width:0;height:1.5pt" o:hralign="center" o:hrstd="t" o:hr="t"/>
        </w:pict>
      </w:r>
    </w:p>
    <w:p>
      <w:pPr>
        <w:pStyle w:val="BlockText"/>
      </w:pPr>
      <w:r>
        <w:t xml:space="preserve">analytic sample 88,869 firms / 50 economies / 103 country-year pairs. The full</w:t>
      </w:r>
      <w:r>
        <w:t xml:space="preserve"> </w:t>
      </w:r>
      <w:r>
        <w:t xml:space="preserve">(results in</w:t>
      </w:r>
      <w:r>
        <w:t xml:space="preserve"> </w:t>
      </w:r>
      <w:r>
        <w:rPr>
          <w:rStyle w:val="VerbatimChar"/>
        </w:rPr>
        <w:t xml:space="preserve">data_wbes/analysis/p7_full_ladder_results.md</w:t>
      </w:r>
      <w:r>
        <w:t xml:space="preserve">); the two anchors</w:t>
      </w:r>
      <w:r>
        <w:t xml:space="preserve"> </w:t>
      </w:r>
      <w:r>
        <w:t xml:space="preserve">reproduce exactly (M2 quadratic N=81,022, TP=51.5%; M4 +TCI+DAI N=79,080, TP=43.6%).</w:t>
      </w:r>
      <w:r>
        <w:t xml:space="preserve"> </w:t>
      </w:r>
      <w:r>
        <w:t xml:space="preserve">digital-adoption (DAI) curve-reshaping interactions are</w:t>
      </w:r>
      <w:r>
        <w:t xml:space="preserve"> </w:t>
      </w:r>
      <w:r>
        <w:rPr>
          <w:bCs/>
          <w:b/>
        </w:rPr>
        <w:t xml:space="preserve">not</w:t>
      </w:r>
      <w:r>
        <w:t xml:space="preserve"> </w:t>
      </w:r>
      <w:r>
        <w:t xml:space="preserve">significant — DAI is</w:t>
      </w:r>
      <w:r>
        <w:t xml:space="preserve"> </w:t>
      </w:r>
      <w:r>
        <w:t xml:space="preserve">before journal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88,869 firms across 50 economies and 103 country-year waves of the World Bank Enterprise Survey (2003–2025; including Japan's inaugural 2025 wave), spanning all six Institutional Context Regime Variation (ICRV) groups, we estimate a hierarchical sequence of models on currency-neutral labour productivity (standardised within economy-year) with two-way (economy and year) fixed effects throughout and standard errors clustered by economy. We find robust support for an inverted-U I–P relationship: the quadratic baseline (M2, N=81,022) yields a turning point of 51.5% of export sales, tightening to 43.6% once technological capability and digital adoption are controlled (M4, N=79,080; Lind–Mehlum p &lt; .001 throughout). Technological capability (TCI, +0.108) and digital adoption (DAI, +0.219) both raise the performance level, but neither significantly reshapes the pooled curve; both are level-shifters, not curve-reshapers. The curve structure is instead governed by institutional regime: estimating the turning point within each ICRV group reveals a three-zone pattern: a sharp inverted-U in the lower-middle transition regime (TP ≈ 43%), a near-linear relationship in the strongest-institution regime (turning point beyond the observable range, ≈ 80%), and dissolution of the inverted-U in the weakest regimes (Emerging ≈ 37%; the Pacific SIDS group shows no inverted-U). Female top management carries a negative coefficient (−0.104, p &lt; .001). These findings offer a parsimonious resolution to Asian I–P heterogeneity: the relationship is inverted-U in form, but it is institutional regime, not capability per se, that determines whether the inverted-U is sharp, straightened, or absent.</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88,869 firm-observations from 50 Asian and Pacific economies spanning 2003–2025 (including Japan's inaugural 2025 wave), harmonised from the World Bank Enterprise Survey (WBES). Our sample spans all six ICRV regime groups, from advanced innovation-driven economies (Japan, Singapore, Korea, Taiwan, HongKong, Israel) to Pacific Small Island Developing States (Vanuatu, Solomon Islands, Fiji, Tonga, Samoa, Kiribati, Papua New Guinea) and Gulf advanced-resource economies (Bahrain, Kuwait, Qatar, Brunei, Saudi Arabia, Oman), all classified through the Institutional Context Regime Variation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capability-adjusted turning point of 43.6% foreign sales intensity (51.5% in the unconditioned quadratic; Lind–Mehlum p &lt; .001 throughout) on a harmonised 50-economy frame. Second, we show that both technological capability (TCI, +0.108) and digital adoption (DAI, +0.219) are strong performance</w:t>
      </w:r>
      <w:r>
        <w:t xml:space="preserve"> </w:t>
      </w:r>
      <w:r>
        <w:rPr>
          <w:bCs/>
          <w:b/>
        </w:rPr>
        <w:t xml:space="preserve">level-shifters</w:t>
      </w:r>
      <w:r>
        <w:t xml:space="preserve"> </w:t>
      </w:r>
      <w:r>
        <w:t xml:space="preserve">but that neither significantly reshapes the pooled I–P curve, a finding that disciplines capability-centred accounts of internationalization performance. Third, and most consequentially, we show that the</w:t>
      </w:r>
      <w:r>
        <w:t xml:space="preserve"> </w:t>
      </w:r>
      <w:r>
        <w:rPr>
          <w:bCs/>
          <w:b/>
        </w:rPr>
        <w:t xml:space="preserve">shape</w:t>
      </w:r>
      <w:r>
        <w:t xml:space="preserve"> </w:t>
      </w:r>
      <w:r>
        <w:t xml:space="preserve">of the curve is governed by institutional regime, and not as a smooth gradient but as a three-zone structure: a sharp inverted-U in transition economies (turning point ≈ 43%), near-linearity in the strongest-institution economies (turning point beyond the observable range), and dissolution (reversing into a Forced Internationalization Penalty among the Pacific SIDS) in the weakest regimes.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This motivates examining whether any curve-shaping role of digital capability (predicted by H3) is concentrated in weaker-institution economies rather than uniform across the pool: a prediction we assess through the within-regime turning-point analysis (Table 4), since the reconciled pooled models find no significant DAI curve-reshaping (H3 level effect confirmed, curvature NS).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50 Asian and Pacific economies across 103 country-year waves spanning 2003–2025, including Japan's inaugural WBES wave (2025).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frame contains 88,869 firm-observations across 50 economies and 103 country-year pairs; the main regression sample (outcome and FSTS non-missing) is 81,022. Some early waves predate the digital-capability and manager variables used in the moderation models; they contribute to the baseline models but drop from later specifications due to item missingness.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log annual sales per permanent worker, ln(LP) = ln(d2 / l1), winsorised at the 1st/99th percentiles within each survey wave and then</w:t>
      </w:r>
      <w:r>
        <w:t xml:space="preserve"> </w:t>
      </w:r>
      <w:r>
        <w:rPr>
          <w:bCs/>
          <w:b/>
        </w:rPr>
        <w:t xml:space="preserve">standardised within each economy-year cell</w:t>
      </w:r>
      <w:r>
        <w:t xml:space="preserve"> </w:t>
      </w:r>
      <w:r>
        <w:t xml:space="preserve">(lp_z, mean 0 / SD 1). Standardising within economy-year removes the nominal-currency and price-level differences that would otherwise contaminate cross-economy comparison of raw sales-per-worker, so the I–P slope is identified from within-cell variation; all models additionally carry two-way (economy and year) fixed effects.</w:t>
      </w:r>
    </w:p>
    <w:p>
      <w:pPr>
        <w:pStyle w:val="BodyText"/>
      </w:pPr>
      <w:r>
        <w:rPr>
          <w:bCs/>
          <w:b/>
        </w:rPr>
        <w:t xml:space="preserve">Foreign sales intensity (FSTS).</w:t>
      </w:r>
      <w:r>
        <w:t xml:space="preserve"> </w:t>
      </w:r>
      <w:r>
        <w:t xml:space="preserve">Defined as the share of sales from exports, both direct and indirect, (d3b + d3c) / 100, ranging from 0 to 1. We mean-centre FSTS at the sample mean for quadratic and interaction models (fsts_c); the quadratic term fsts_c² is computed from the centred value. The sample mean is 9.0%.</w:t>
      </w:r>
    </w:p>
    <w:p>
      <w:pPr>
        <w:pStyle w:val="BodyText"/>
      </w:pPr>
      <w:r>
        <w:rPr>
          <w:bCs/>
          <w:b/>
        </w:rPr>
        <w:t xml:space="preserve">Technological capability index (TCI_z).</w:t>
      </w:r>
      <w:r>
        <w:t xml:space="preserve"> </w:t>
      </w:r>
      <w:r>
        <w:t xml:space="preserve">A two-item composite of R&amp;D activity (h8) and internationally recognised quality certification (b8), standardised to mean 0, SD 1 within economy-year.</w:t>
      </w:r>
    </w:p>
    <w:p>
      <w:pPr>
        <w:pStyle w:val="BodyText"/>
      </w:pPr>
      <w:r>
        <w:rPr>
          <w:bCs/>
          <w:b/>
        </w:rPr>
        <w:t xml:space="preserve">Digital adoption index (DAI).</w:t>
      </w:r>
      <w:r>
        <w:t xml:space="preserve"> </w:t>
      </w:r>
      <w:r>
        <w:t xml:space="preserve">Website presence (c22b), a binary Tier-1 indicator of digital participation.</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M8 (its main effect absorbed by economy fixed effects) and as the grouping variable for the within-regime turning-point analysis (Table 4).</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eight models (Table 2). All models carry two-way (economy and year) fixed effects and cluster-robust standard errors by economy (CRV1). The ladder runs from the linear baseline (M1) and the quadratic anchor (M2), through demographic controls (M3) and the capability block (M4: TCI and DAI), to the capability-moderation (M5: FSTS×TCI; M6: FSTS×DAI), manager (M7), and institutional-regime moderation (M8: FSTS×ICRV) specifications.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(M5–M8), we include interaction terms FSTS×moderator and FSTS²×moderator and report the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frame is 88,869 firms across 50 economies. The quadratic anchor (M2: outcome + FSTS non-missing) is N = 81,022. Adding the capability block (M4: TCI and DAI) gives N = 79,080; demographic controls (M3) N = 78,970; the manager models (M7) drop to N = 75,029 because manager experience and gender are missing in some waves. The modest attrition across the ladder reflects item missingness in the moderator and manager variables, which is more prevalent in smaller economies and early WBES waves. All N's are reproducible via</w:t>
      </w:r>
      <w:r>
        <w:t xml:space="preserve"> </w:t>
      </w:r>
      <w:r>
        <w:rPr>
          <w:rStyle w:val="VerbatimChar"/>
        </w:rPr>
        <w:t xml:space="preserve">scripts/p7_full_ladder.py</w:t>
      </w:r>
      <w:r>
        <w:t xml:space="preserve">.</w:t>
      </w:r>
    </w:p>
    <w:p>
      <w:r>
        <w:pict>
          <v:rect style="width:0;height:1.5pt" o:hralign="center" o:hrstd="t" o:hr="t"/>
        </w:pic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50 economies and 103 country-year waves. The mean FSTS across firms is approximately 9% (median ≈ 0), reflecting the fact that most WBES firms are domestically oriented; exporters (FSTS &gt; 0) represent roughly one in five firms. Because the dependent variable is standardised within each economy-year cell, productivity is directly comparable within the estimation regardless of national currency or price level. Pairwise correlations among focal variables are modest,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M1–M4.</w:t>
      </w:r>
    </w:p>
    <w:p>
      <w:pPr>
        <w:pStyle w:val="BodyText"/>
      </w:pPr>
      <w:r>
        <w:t xml:space="preserve">The linear baseline (M1) yields a positive but small FSTS slope (β = +0.219, p = .002). Adding the quadratic term (M2, N=81,022) yields β₁ = +1.188 (p &lt; .001) and β₂ = −1.398 (p &lt; .001), consistent with an inverted-U. Following Haans, Pieters, and He (2016), the formal conditions for a genuine inverted-U are satisfied: (C1) β₁ &gt; 0 (p &lt; .001), a positive ascending limb; (C2) β₂ &lt; 0 (p &lt; .001), concavity; (C3) the turning point TP ≈ 51.5% lies within the observed FSTS range; and (C4) the marginal effect is positive at the lower boundary and negative at the upper boundary, with opposite signs confirmed by the Lind–Mehlum (2010) test (joint p &lt; .001). The turning point tightens as capability is controlled: adding demographic controls (M3) gives TP = 43.8%, and adding technological capability and digital adoption (M4, N=79,080) gives TP = 43.6%, the headline estimate, matching the dissertation's canonical value. The stability of the turning point in the low-to-mid-40% range once capability is held constant indicates that the inverted-U is not an artefact of capability-based selection into exporting.</w:t>
      </w:r>
    </w:p>
    <w:p>
      <w:pPr>
        <w:pStyle w:val="BodyText"/>
      </w:pPr>
      <w:r>
        <w:rPr>
          <w:bCs/>
          <w:b/>
        </w:rPr>
        <w:t xml:space="preserve">H1 is supported.</w:t>
      </w:r>
      <w:r>
        <w:t xml:space="preserve"> </w:t>
      </w:r>
      <w:r>
        <w:t xml:space="preserve">The I–P relationship is robustly inverted-U in the pooled sample of 50 Asian and Pacific economies, with a capability-adjusted turning point of 43.6% foreign sales intensity (51.5% in the unconditioned quadratic).</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2/3, Models M4–M5.</w:t>
      </w:r>
    </w:p>
    <w:p>
      <w:pPr>
        <w:pStyle w:val="BodyText"/>
      </w:pPr>
      <w:r>
        <w:t xml:space="preserve">Technological capability enters with a positive and highly significant level effect (M4: TCI = +0.108, p &lt; .001): higher-capability firms are more productive at every level of internationalization. The interaction model M5 adds FSTS×TCI and FSTS²×TCI; neither is significant (FSTS×TCI = +0.068, FSTS²×TCI = −0.119, both p &gt; .10), and the turning point is essentially unchanged (TP = 44.0%). Capability raises the floor; it does not bend the curve.</w:t>
      </w:r>
    </w:p>
    <w:p>
      <w:pPr>
        <w:pStyle w:val="BodyText"/>
      </w:pPr>
      <w:r>
        <w:rPr>
          <w:bCs/>
          <w:b/>
        </w:rPr>
        <w:t xml:space="preserve">H2 is partially supported (level effect confirmed; curvature effects NS).</w:t>
      </w:r>
      <w:r>
        <w:t xml:space="preserve"> </w:t>
      </w:r>
      <w:r>
        <w:t xml:space="preserve">TCI is a foundational level-shifter across the 50-economy pool. The curve-moderation found in single-country studies (P3 Vietnam, P5 China) does not survive aggregation across the institutionally diverse pool, consistent with capability's curve-shaping role being institution-contingent rather than universal.</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2/3, Models M4 and M6.</w:t>
      </w:r>
    </w:p>
    <w:p>
      <w:pPr>
        <w:pStyle w:val="BodyText"/>
      </w:pPr>
      <w:r>
        <w:t xml:space="preserve">Digital adoption carries the largest capability level effect in the model (M4: DAI = +0.219, p &lt; .001): a substantial productivity premium for firms with a web presence. The interaction model M6 adds FSTS×DAI and FSTS²×DAI to test whether digital adoption reshapes the curve; on this canonical specification, neither interaction is significant (FSTS×DAI = −0.270, FSTS²×DAI = +0.252, both p &gt; .10), and the turning point is essentially unchanged (TP = 47.1%). The curve-reshaping role attributed to DAI in an earlier draft does not survive re-estimation on the within-economy-year-standardised, two-way-fixed-effects specification: DAI behaves as a level-shifter, not a curve-reshaper, in the pooled sample.</w:t>
      </w:r>
    </w:p>
    <w:p>
      <w:pPr>
        <w:pStyle w:val="BodyText"/>
      </w:pPr>
      <w:r>
        <w:rPr>
          <w:bCs/>
          <w:b/>
        </w:rPr>
        <w:t xml:space="preserve">H3 is partially supported (level effect confirmed; curvature effects NS).</w:t>
      </w:r>
      <w:r>
        <w:t xml:space="preserve"> </w:t>
      </w:r>
      <w:r>
        <w:t xml:space="preserve">Digital adoption raises firm performance substantially but does not significantly reshape the pooled I–P curve. The "digital shield" effect (DAI attenuating the descending limb) documented in the single-country Singapore study (P4) is not detectable once aggregated across the 50-economy pool, again consistent with the curve-shaping role of digital capability being institution-contingent rather than universal.</w:t>
      </w:r>
    </w:p>
    <w:bookmarkEnd w:id="38"/>
    <w:bookmarkStart w:id="39" w:name="X8c2848f12d916aaecc7d070f2d4e848d015e61e"/>
    <w:p>
      <w:pPr>
        <w:pStyle w:val="Heading3"/>
      </w:pPr>
      <w:r>
        <w:t xml:space="preserve">4.5 Managerial Characteristics (H4)</w:t>
      </w:r>
    </w:p>
    <w:p>
      <w:pPr>
        <w:pStyle w:val="FirstParagraph"/>
      </w:pPr>
      <w:r>
        <w:rPr>
          <w:iCs/>
          <w:i/>
        </w:rPr>
        <w:t xml:space="preserve">Table 2/3, Model M7.</w:t>
      </w:r>
    </w:p>
    <w:p>
      <w:pPr>
        <w:pStyle w:val="BodyText"/>
      </w:pPr>
      <w:r>
        <w:t xml:space="preserve">Adding manager characteristics (M7, N=75,029), manager sectoral experience is not significant (β = +0.002, p &gt; .10), while the female-top-manager coefficient is negative and highly significant (β = −0.104, p &lt; .001). The inverted-U is unaffected (TP = 44.0%). The negative female-management coefficient is consistent with the rest of the dissertation (the single-country Japan study, P10, and the thesis Chapter 4 likewise estimate a negative female-top-manager coefficient) and is most plausibly read as compositional selection of female-led establishments into smaller, lower-margin niches in economies where female senior leadership remains rare, rather than as a leadership effect. It should not be interpreted causally.</w:t>
      </w:r>
    </w:p>
    <w:p>
      <w:pPr>
        <w:pStyle w:val="BodyText"/>
      </w:pPr>
      <w:r>
        <w:rPr>
          <w:bCs/>
          <w:b/>
        </w:rPr>
        <w:t xml:space="preserve">H4 is not supported as hypothesised.</w:t>
      </w:r>
      <w:r>
        <w:t xml:space="preserve"> </w:t>
      </w:r>
      <w:r>
        <w:t xml:space="preserve">Manager experience carries no significant level effect, and the female-management coefficient is negative rather than the hypothesised positive. We treat the female-management coefficient as a descriptive regularity requiring within-economy, selection-aware analysis, not as evidence on the causal effect of female leadership.</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2/3, Model M8, and the per-ICRV turning-point table.</w:t>
      </w:r>
    </w:p>
    <w:p>
      <w:pPr>
        <w:pStyle w:val="BodyText"/>
      </w:pPr>
      <w:r>
        <w:t xml:space="preserve">Because ICRV regime is time-invariant within an economy, its main effect is absorbed by the economy fixed effects; only the interaction terms are identified. In the pooled model M8, neither FSTS×ICRV (β = −0.086) nor FSTS²×ICRV (β = −0.013) is significant (both p &gt; .10): the institutional gradient does not manifest as a single linear shift of the pooled curve. Instead, the institutional structure of the relationship emerges when the turning point is estimated</w:t>
      </w:r>
      <w:r>
        <w:t xml:space="preserve"> </w:t>
      </w:r>
      <w:r>
        <w:rPr>
          <w:bCs/>
          <w:b/>
        </w:rPr>
        <w:t xml:space="preserve">within</w:t>
      </w:r>
      <w:r>
        <w:t xml:space="preserve"> </w:t>
      </w:r>
      <w:r>
        <w:t xml:space="preserve">each ICRV group (capability-adjusted M4 form within group):</w:t>
      </w:r>
    </w:p>
    <w:p>
      <w:pPr>
        <w:numPr>
          <w:ilvl w:val="0"/>
          <w:numId w:val="1001"/>
        </w:numPr>
        <w:pStyle w:val="Compact"/>
      </w:pPr>
      <w:r>
        <w:rPr>
          <w:bCs/>
          <w:b/>
        </w:rPr>
        <w:t xml:space="preserve">Lower-middle transition (Group IV, N=42,094): TP ≈ 43%</w:t>
      </w:r>
      <w:r>
        <w:t xml:space="preserve">, a sharp, reliably located inverted-U (β₂ &lt; 0, p &lt; .001). This is the regime that anchors the pooled estimate.</w:t>
      </w:r>
    </w:p>
    <w:p>
      <w:pPr>
        <w:numPr>
          <w:ilvl w:val="0"/>
          <w:numId w:val="1001"/>
        </w:numPr>
        <w:pStyle w:val="Compact"/>
      </w:pPr>
      <w:r>
        <w:rPr>
          <w:bCs/>
          <w:b/>
        </w:rPr>
        <w:t xml:space="preserve">Strongest-institution regime (Group I Advanced innovation, incl. Japan): TP ≈ 80%</w:t>
      </w:r>
      <w:r>
        <w:t xml:space="preserve">: the turning point lies near or beyond the observable range, so within the data the relationship is effectively near-linear and positive.</w:t>
      </w:r>
    </w:p>
    <w:p>
      <w:pPr>
        <w:numPr>
          <w:ilvl w:val="0"/>
          <w:numId w:val="1001"/>
        </w:numPr>
        <w:pStyle w:val="Compact"/>
      </w:pPr>
      <w:r>
        <w:rPr>
          <w:bCs/>
          <w:b/>
        </w:rPr>
        <w:t xml:space="preserve">Weakest regimes (Group V Emerging: TP ≈ 37%; Group VI Pacific SIDS): the inverted-U dissolves</w:t>
      </w:r>
      <w:r>
        <w:t xml:space="preserve">; in the SIDS group the quadratic flips sign (no interior maximum), consistent with the Forced Internationalization Penalty documented in the companion SIDS study (P8).</w:t>
      </w:r>
    </w:p>
    <w:p>
      <w:pPr>
        <w:pStyle w:val="FirstParagraph"/>
      </w:pPr>
      <w:r>
        <w:rPr>
          <w:bCs/>
          <w:b/>
        </w:rPr>
        <w:t xml:space="preserve">H5 is supported, but as existence-moderation rather than location-moderation.</w:t>
      </w:r>
      <w:r>
        <w:t xml:space="preserve"> </w:t>
      </w:r>
      <w:r>
        <w:t xml:space="preserve">Institutional regime does not merely shift where a universal inverted-U peaks; it governs whether the inverted-U is sharp (transition regimes), straightened (strongest regimes), or absent (weakest regimes): a three-zone structure.</w:t>
      </w:r>
    </w:p>
    <w:bookmarkEnd w:id="40"/>
    <w:bookmarkStart w:id="41" w:name="X4660d5a54a4ef3782810124f5d081790225d7d9"/>
    <w:p>
      <w:pPr>
        <w:pStyle w:val="Heading3"/>
      </w:pPr>
      <w:r>
        <w:t xml:space="preserve">4.7 Synthesis: A Three-Zone, Institution-Contingent Curve</w:t>
      </w:r>
    </w:p>
    <w:p>
      <w:pPr>
        <w:pStyle w:val="FirstParagraph"/>
      </w:pPr>
      <w:r>
        <w:t xml:space="preserve">Taken together, the moderation results relocate the explanatory weight from capability to institutions. Capability (TCI, DAI) and managers shift the</w:t>
      </w:r>
      <w:r>
        <w:t xml:space="preserve"> </w:t>
      </w:r>
      <w:r>
        <w:rPr>
          <w:bCs/>
          <w:b/>
        </w:rPr>
        <w:t xml:space="preserve">level</w:t>
      </w:r>
      <w:r>
        <w:t xml:space="preserve"> </w:t>
      </w:r>
      <w:r>
        <w:t xml:space="preserve">of productivity but do not significantly reshape the pooled curve. What reshapes the curve is institutional regime, and it does so not as a smooth gradient but as three discrete zones. In the middle of the institutional gradient (lower-middle transition), the inverted-U is sharp and reliably located near a 43% turning point; at the top (strongest institutions, including Japan), the descending limb is pushed beyond the observable range and the relationship is effectively near-linear; at the bottom (emerging and Pacific SIDS), the inverted-U dissolves and, in the SIDS group, reverses. This three-zone reading reconciles the apparently divergent single-country results in the dissertation (Vietnam and India in the transition zone show sharp inverted-U; Singapore and Japan at the top show near-linearity; the SIDS group shows the Forced Internationalization Penalty) within one harmonised, 50-economy estimation.</w:t>
      </w:r>
    </w:p>
    <w:p>
      <w:r>
        <w:pict>
          <v:rect style="width:0;height:1.5pt" o:hralign="center" o:hrstd="t" o:hr="t"/>
        </w:pic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(an inverted-U with a capability-adjusted turning point of 43.6% foreign sales intensity, robust across 50 economies and six ICRV groups) offers a parsimonious resolution to apparent inconsistencies in the Asian I–P literature. Studies finding positive linear effects (Pangarkar, 2008: Singapore; Cho et al., 2023: Korea) are working with strong-institution samples whose turning point lies beyond the observable export-intensity range; their firms are on a long ascending limb. Studies finding null or negative results may be capturing weakest-regime samples in which the inverted-U dissolves. Our within-regime turning-point analysis provides the key refinement: the relationship is not a single inverted-U with a moving peak but a</w:t>
      </w:r>
      <w:r>
        <w:t xml:space="preserve"> </w:t>
      </w:r>
      <w:r>
        <w:rPr>
          <w:bCs/>
          <w:b/>
        </w:rPr>
        <w:t xml:space="preserve">three-zone</w:t>
      </w:r>
      <w:r>
        <w:t xml:space="preserve"> </w:t>
      </w:r>
      <w:r>
        <w:t xml:space="preserve">structure: sharp inverted-U in the transition regime (Group IV, TP ≈ 43%), near-linearity in the strongest regime (Group I, TP ≈ 80%, beyond range), and dissolution in the weakest regimes (Group V ≈ 37%; Group VI SIDS, no inverted-U). Whether a single-country study finds an inverted-U at all therefore depends on which institutional zone its economy occupies.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50-economy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d4fb1bb7a799c1fc5adcff76c30e3f2326e6be3"/>
    <w:p>
      <w:pPr>
        <w:pStyle w:val="Heading3"/>
      </w:pPr>
      <w:r>
        <w:t xml:space="preserve">5.3 Digital Adoption: Level Effect, Not Curve Reshaping</w:t>
      </w:r>
    </w:p>
    <w:p>
      <w:pPr>
        <w:pStyle w:val="FirstParagraph"/>
      </w:pPr>
      <w:r>
        <w:t xml:space="preserve">On the canonical specification, digital adoption is the largest single capability level-shifter (DAI = +0.219, p &lt; .001) but does not significantly reshape the pooled I–P curve. This is a more conservative and, we argue, more credible reading than an earlier draft that attributed significant curve-reshaping to DAI: with within-economy-year standardisation and two-way fixed effects absorbing the price-level and selection confounds, the apparent curve-reshaping does not survive. The "digital shield" mechanism, DAI cushioning the descending limb, appears in the single-country Singapore study (P4) but is undetectable in aggregation, indicating that any curve-shaping role of digital adoption is institution-contingent and operates below the resolution of a pooled, Tier-1 (website-only) WBES measure. The policy implication is correspondingly disciplined: digital adoption is a robust lever for raising the productivity</w:t>
      </w:r>
      <w:r>
        <w:t xml:space="preserve"> </w:t>
      </w:r>
      <w:r>
        <w:rPr>
          <w:bCs/>
          <w:b/>
        </w:rPr>
        <w:t xml:space="preserve">level</w:t>
      </w:r>
      <w:r>
        <w:t xml:space="preserve"> </w:t>
      </w:r>
      <w:r>
        <w:t xml:space="preserve">across the region, but it should not be sold as a tool for re-shaping the internationalization-performance trade-off.</w:t>
      </w:r>
    </w:p>
    <w:bookmarkEnd w:id="45"/>
    <w:bookmarkStart w:id="46" w:name="X84f38018b3434e120970b4f2e30dde187cbc62e"/>
    <w:p>
      <w:pPr>
        <w:pStyle w:val="Heading3"/>
      </w:pPr>
      <w:r>
        <w:t xml:space="preserve">5.4 Managerial Heterogeneity</w:t>
      </w:r>
    </w:p>
    <w:p>
      <w:pPr>
        <w:pStyle w:val="FirstParagraph"/>
      </w:pPr>
      <w:r>
        <w:t xml:space="preserve">On the canonical specification, manager sectoral experience carries no significant level effect, and the female-top-manager coefficient is</w:t>
      </w:r>
      <w:r>
        <w:t xml:space="preserve"> </w:t>
      </w:r>
      <w:r>
        <w:rPr>
          <w:bCs/>
          <w:b/>
        </w:rPr>
        <w:t xml:space="preserve">negative</w:t>
      </w:r>
      <w:r>
        <w:t xml:space="preserve"> </w:t>
      </w:r>
      <w:r>
        <w:t xml:space="preserve">(−0.104, p &lt; .001) rather than positive. This sign is consistent across the dissertation: the single-country Japan study (P10) and the thesis pooled analysis estimate the same negative coefficient. It cautions against a causal reading. In economies where female senior leadership remains rare (the regional pool spans contexts with female-top-manager shares from single digits upward), the small set of female-led establishments is unlikely to be a random draw; the most plausible interpretation is compositional selection into smaller, lower-margin, labour-intensive niches, which a cross-sectional level regression cannot disentangle from any leadership effect. The null curve-moderation result (FSTS×manager terms not significant) indicates that, whatever the source of the level coefficient, manager characteristics do not help firms navigate the internationalization trade-off more efficiently. We therefore report the female-management coefficient as a descriptive regularity requiring within-economy, selection-aware analysis (e.g., matched samples or panel tracking of leadership transitions), not as evidence on the causal effect of female leadership on firm performance.</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 cross-sectional design: "performance" throughout refers to a contemporaneous association between FSTS and labour productivity in a given survey year, not a panel-tracked causal effect. The IV strategy used in the single-country P3 Vietnam study to address selection into exporting is not available at scale across 50 economies, and capability-based selection into exporting is part of what the capability-adjusted turning point (M4) reveals rather than a nuisance assumed away. Second, the DAI measure is limited to Tier-1 (website) capability in the harmonised pool; the richer digital-capability dimensions captured in more recent BEE-schema waves are not yet available for the majority of economies, which likely contributes to the null curve-reshaping result. Third, the dataset covers all 50 ICRV-mapped economies across six regime groups, including Japan's inaugural 2025 wave; some early waves predate the digital-capability and manager variables, limiting their contribution to the baseline models. Future WBES waves would sharpen the moderation estimates, particularly for the sparser Advanced and SIDS regimes.</w:t>
      </w:r>
    </w:p>
    <w:p>
      <w:r>
        <w:pict>
          <v:rect style="width:0;height:1.5pt" o:hralign="center" o:hrstd="t" o:hr="t"/>
        </w:pic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 50-economy, 103-wave WBES sample (including Japan's inaugural 2025 wave), with a capability-adjusted turning point of 43.6% foreign sales intensity. Three conclusions are policy-relevant. First, for firms in the ascending phase (FSTS &lt; 43.6%), intensifying internationalization is productivity-enhancing; the priority is removing barriers to export expansion. For firms beyond the turning point, the constraint is not market access but coordination capacity. Second, both technological capability and digital adoption raise the performance level substantially across all FSTS levels without reliably reshaping the curve; policy should target capability building as a baseline performance lever rather than as a curve-shifting intervention. Third, and most important, it is institutional regime, not capability, that determines the shape of the curve: the inverted-U is sharp in transition economies (turning point ≈ 43%), straightens toward near-linearity in the strongest-institution economies (peak beyond the observable range), and dissolves in the weakest regimes, reversing into a Forced Internationalization Penalty in the Pacific SIDS group. Context-contingent policy must therefore differ by zone, not merely by where a common peak falls.</w:t>
      </w:r>
    </w:p>
    <w:p>
      <w:pPr>
        <w:pStyle w:val="BodyText"/>
      </w:pPr>
      <w:r>
        <w:t xml:space="preserve">The near-term policy context adds urgency to these findings. World Bank (2026b) macro monitoring data for Vietnam, the largest ICRV Group IV economy in the sample,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 side of the inverted-U becomes consequential: firms pushed above their optimal FSTS by earlier export commitments face amplified coordination and input-cost pressures. Because Vietnam sits in the transition regime where the inverted-U is sharpest (Group IV turning point ≈ 43%), Vietnamese exporters currently above that threshold are among the most exposed to macro shocks. The capability evidence implies that building technological and digital capability raises the productivity floor for these firms, even though, on our pooled estimates, capability does not by itself flatten the descending limb; the binding margin is the breadth of capable export participation, not a curve-shifting fix.</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74"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0">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1">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2">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3">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4">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5">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6">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7">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8">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9">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0">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1">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2">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3">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4">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5">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6">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7">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8">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9">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1">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2">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4"/>
    <w:bookmarkStart w:id="75"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lp_z</w:t>
            </w:r>
          </w:p>
        </w:tc>
        <w:tc>
          <w:tcPr/>
          <w:p>
            <w:pPr>
              <w:pStyle w:val="Compact"/>
              <w:jc w:val="left"/>
            </w:pPr>
            <w:r>
              <w:t xml:space="preserve">Log labour productivity ln(d2/l1), winsorised 1/99, z-scored within economy-year</w:t>
            </w:r>
          </w:p>
        </w:tc>
        <w:tc>
          <w:tcPr/>
          <w:p>
            <w:pPr>
              <w:pStyle w:val="Compact"/>
              <w:jc w:val="left"/>
            </w:pPr>
            <w:r>
              <w:t xml:space="preserve">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 indirect exports)</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(R&amp;D + ISO certification), z-scored within economy-year</w:t>
            </w:r>
          </w:p>
        </w:tc>
        <w:tc>
          <w:tcPr/>
          <w:p>
            <w:pPr>
              <w:pStyle w:val="Compact"/>
              <w:jc w:val="left"/>
            </w:pPr>
            <w:r>
              <w:t xml:space="preserve">h8, b8</w:t>
            </w:r>
          </w:p>
        </w:tc>
        <w:tc>
          <w:tcPr/>
          <w:p>
            <w:pPr>
              <w:pStyle w:val="Compact"/>
              <w:jc w:val="left"/>
            </w:pPr>
            <w:r>
              <w:t xml:space="preserve">~82%</w:t>
            </w:r>
          </w:p>
        </w:tc>
      </w:tr>
      <w:tr>
        <w:tc>
          <w:tcPr/>
          <w:p>
            <w:pPr>
              <w:pStyle w:val="Compact"/>
              <w:jc w:val="left"/>
            </w:pPr>
            <w:r>
              <w:t xml:space="preserve">DAI</w:t>
            </w:r>
          </w:p>
        </w:tc>
        <w:tc>
          <w:tcPr/>
          <w:p>
            <w:pPr>
              <w:pStyle w:val="Compact"/>
              <w:jc w:val="left"/>
            </w:pPr>
            <w:r>
              <w:t xml:space="preserve">Digital adoption (website presence, Tier-1 binary)</w:t>
            </w:r>
          </w:p>
        </w:tc>
        <w:tc>
          <w:tcPr/>
          <w:p>
            <w:pPr>
              <w:pStyle w:val="Compact"/>
              <w:jc w:val="left"/>
            </w:pPr>
            <w:r>
              <w:t xml:space="preserve">c22b</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r>
        <w:t xml:space="preserve"> </w:t>
      </w:r>
      <w:r>
        <w:t xml:space="preserve">(50-economy canonical frame; two-way FE economy+year; CRV1 by economy)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right"/>
            </w:pPr>
            <w:r>
              <w:t xml:space="preserve">N</w:t>
            </w:r>
          </w:p>
        </w:tc>
        <w:tc>
          <w:tcPr/>
          <w:p>
            <w:pPr>
              <w:pStyle w:val="Compact"/>
              <w:jc w:val="right"/>
            </w:pPr>
            <w:r>
              <w:t xml:space="preserve">Turning point (%)</w:t>
            </w:r>
          </w:p>
        </w:tc>
        <w:tc>
          <w:tcPr/>
          <w:p>
            <w:pPr>
              <w:pStyle w:val="Compact"/>
              <w:jc w:val="right"/>
            </w:pPr>
            <w:r>
              <w:t xml:space="preserve">LM p</w:t>
            </w:r>
          </w:p>
        </w:tc>
        <w:tc>
          <w:tcPr/>
          <w:p>
            <w:pPr>
              <w:pStyle w:val="Compact"/>
              <w:jc w:val="left"/>
            </w:pPr>
            <w:r>
              <w:t xml:space="preserve">Key additions</w:t>
            </w:r>
          </w:p>
        </w:tc>
      </w:tr>
      <w:tr>
        <w:tc>
          <w:tcPr/>
          <w:p>
            <w:pPr>
              <w:pStyle w:val="Compact"/>
              <w:jc w:val="left"/>
            </w:pPr>
            <w:r>
              <w:t xml:space="preserve">M1</w:t>
            </w:r>
          </w:p>
        </w:tc>
        <w:tc>
          <w:tcPr/>
          <w:p>
            <w:pPr>
              <w:pStyle w:val="Compact"/>
              <w:jc w:val="right"/>
            </w:pPr>
            <w:r>
              <w:t xml:space="preserve">81,022</w:t>
            </w:r>
          </w:p>
        </w:tc>
        <w:tc>
          <w:tcPr/>
          <w:p>
            <w:pPr>
              <w:pStyle w:val="Compact"/>
              <w:jc w:val="right"/>
            </w:pPr>
            <w:r>
              <w:t xml:space="preserve">—</w:t>
            </w:r>
          </w:p>
        </w:tc>
        <w:tc>
          <w:tcPr/>
          <w:p>
            <w:pPr>
              <w:pStyle w:val="Compact"/>
              <w:jc w:val="right"/>
            </w:pPr>
            <w:r>
              <w:t xml:space="preserve">—</w:t>
            </w:r>
          </w:p>
        </w:tc>
        <w:tc>
          <w:tcPr/>
          <w:p>
            <w:pPr>
              <w:pStyle w:val="Compact"/>
              <w:jc w:val="left"/>
            </w:pPr>
            <w:r>
              <w:t xml:space="preserve">FSTS linear (β = +0.219**)</w:t>
            </w:r>
          </w:p>
        </w:tc>
      </w:tr>
      <w:tr>
        <w:tc>
          <w:tcPr/>
          <w:p>
            <w:pPr>
              <w:pStyle w:val="Compact"/>
              <w:jc w:val="left"/>
            </w:pPr>
            <w:r>
              <w:t xml:space="preserve">M2</w:t>
            </w:r>
          </w:p>
        </w:tc>
        <w:tc>
          <w:tcPr/>
          <w:p>
            <w:pPr>
              <w:pStyle w:val="Compact"/>
              <w:jc w:val="right"/>
            </w:pPr>
            <w:r>
              <w:t xml:space="preserve">81,022</w:t>
            </w:r>
          </w:p>
        </w:tc>
        <w:tc>
          <w:tcPr/>
          <w:p>
            <w:pPr>
              <w:pStyle w:val="Compact"/>
              <w:jc w:val="right"/>
            </w:pPr>
            <w:r>
              <w:rPr>
                <w:bCs/>
                <w:b/>
              </w:rPr>
              <w:t xml:space="preserve">51.5</w:t>
            </w:r>
          </w:p>
        </w:tc>
        <w:tc>
          <w:tcPr/>
          <w:p>
            <w:pPr>
              <w:pStyle w:val="Compact"/>
              <w:jc w:val="right"/>
            </w:pPr>
            <w:r>
              <w:t xml:space="preserve">&lt;.001</w:t>
            </w:r>
          </w:p>
        </w:tc>
        <w:tc>
          <w:tcPr/>
          <w:p>
            <w:pPr>
              <w:pStyle w:val="Compact"/>
              <w:jc w:val="left"/>
            </w:pPr>
            <w:r>
              <w:t xml:space="preserve">FSTS + FSTS² (anchor)</w:t>
            </w:r>
          </w:p>
        </w:tc>
      </w:tr>
      <w:tr>
        <w:tc>
          <w:tcPr/>
          <w:p>
            <w:pPr>
              <w:pStyle w:val="Compact"/>
              <w:jc w:val="left"/>
            </w:pPr>
            <w:r>
              <w:t xml:space="preserve">M3</w:t>
            </w:r>
          </w:p>
        </w:tc>
        <w:tc>
          <w:tcPr/>
          <w:p>
            <w:pPr>
              <w:pStyle w:val="Compact"/>
              <w:jc w:val="right"/>
            </w:pPr>
            <w:r>
              <w:t xml:space="preserve">78,970</w:t>
            </w:r>
          </w:p>
        </w:tc>
        <w:tc>
          <w:tcPr/>
          <w:p>
            <w:pPr>
              <w:pStyle w:val="Compact"/>
              <w:jc w:val="right"/>
            </w:pPr>
            <w:r>
              <w:rPr>
                <w:bCs/>
                <w:b/>
              </w:rPr>
              <w:t xml:space="preserve">43.8</w:t>
            </w:r>
          </w:p>
        </w:tc>
        <w:tc>
          <w:tcPr/>
          <w:p>
            <w:pPr>
              <w:pStyle w:val="Compact"/>
              <w:jc w:val="right"/>
            </w:pPr>
            <w:r>
              <w:t xml:space="preserve">&lt;.001</w:t>
            </w:r>
          </w:p>
        </w:tc>
        <w:tc>
          <w:tcPr/>
          <w:p>
            <w:pPr>
              <w:pStyle w:val="Compact"/>
              <w:jc w:val="left"/>
            </w:pPr>
            <w:r>
              <w:t xml:space="preserve">M2 + ownership, age, size, female-owner</w:t>
            </w:r>
          </w:p>
        </w:tc>
      </w:tr>
      <w:tr>
        <w:tc>
          <w:tcPr/>
          <w:p>
            <w:pPr>
              <w:pStyle w:val="Compact"/>
              <w:jc w:val="left"/>
            </w:pPr>
            <w:r>
              <w:t xml:space="preserve">M4</w:t>
            </w:r>
          </w:p>
        </w:tc>
        <w:tc>
          <w:tcPr/>
          <w:p>
            <w:pPr>
              <w:pStyle w:val="Compact"/>
              <w:jc w:val="right"/>
            </w:pPr>
            <w:r>
              <w:t xml:space="preserve">79,080</w:t>
            </w:r>
          </w:p>
        </w:tc>
        <w:tc>
          <w:tcPr/>
          <w:p>
            <w:pPr>
              <w:pStyle w:val="Compact"/>
              <w:jc w:val="right"/>
            </w:pPr>
            <w:r>
              <w:rPr>
                <w:bCs/>
                <w:b/>
              </w:rPr>
              <w:t xml:space="preserve">43.6</w:t>
            </w:r>
          </w:p>
        </w:tc>
        <w:tc>
          <w:tcPr/>
          <w:p>
            <w:pPr>
              <w:pStyle w:val="Compact"/>
              <w:jc w:val="right"/>
            </w:pPr>
            <w:r>
              <w:t xml:space="preserve">&lt;.001</w:t>
            </w:r>
          </w:p>
        </w:tc>
        <w:tc>
          <w:tcPr/>
          <w:p>
            <w:pPr>
              <w:pStyle w:val="Compact"/>
              <w:jc w:val="left"/>
            </w:pPr>
            <w:r>
              <w:t xml:space="preserve">M3-block + TCI + DAI (headline)</w:t>
            </w:r>
          </w:p>
        </w:tc>
      </w:tr>
      <w:tr>
        <w:tc>
          <w:tcPr/>
          <w:p>
            <w:pPr>
              <w:pStyle w:val="Compact"/>
              <w:jc w:val="left"/>
            </w:pPr>
            <w:r>
              <w:t xml:space="preserve">M5</w:t>
            </w:r>
          </w:p>
        </w:tc>
        <w:tc>
          <w:tcPr/>
          <w:p>
            <w:pPr>
              <w:pStyle w:val="Compact"/>
              <w:jc w:val="right"/>
            </w:pPr>
            <w:r>
              <w:t xml:space="preserve">79,080</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FSTS×TCI, FSTS²×TCI</w:t>
            </w:r>
          </w:p>
        </w:tc>
      </w:tr>
      <w:tr>
        <w:tc>
          <w:tcPr/>
          <w:p>
            <w:pPr>
              <w:pStyle w:val="Compact"/>
              <w:jc w:val="left"/>
            </w:pPr>
            <w:r>
              <w:t xml:space="preserve">M6</w:t>
            </w:r>
          </w:p>
        </w:tc>
        <w:tc>
          <w:tcPr/>
          <w:p>
            <w:pPr>
              <w:pStyle w:val="Compact"/>
              <w:jc w:val="right"/>
            </w:pPr>
            <w:r>
              <w:t xml:space="preserve">79,080</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M4 + FSTS×DAI, FSTS²×DAI</w:t>
            </w:r>
          </w:p>
        </w:tc>
      </w:tr>
      <w:tr>
        <w:tc>
          <w:tcPr/>
          <w:p>
            <w:pPr>
              <w:pStyle w:val="Compact"/>
              <w:jc w:val="left"/>
            </w:pPr>
            <w:r>
              <w:t xml:space="preserve">M7</w:t>
            </w:r>
          </w:p>
        </w:tc>
        <w:tc>
          <w:tcPr/>
          <w:p>
            <w:pPr>
              <w:pStyle w:val="Compact"/>
              <w:jc w:val="right"/>
            </w:pPr>
            <w:r>
              <w:t xml:space="preserve">75,029</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manager experience, female manager</w:t>
            </w:r>
          </w:p>
        </w:tc>
      </w:tr>
      <w:tr>
        <w:tc>
          <w:tcPr/>
          <w:p>
            <w:pPr>
              <w:pStyle w:val="Compact"/>
              <w:jc w:val="left"/>
            </w:pPr>
            <w:r>
              <w:t xml:space="preserve">M8</w:t>
            </w:r>
          </w:p>
        </w:tc>
        <w:tc>
          <w:tcPr/>
          <w:p>
            <w:pPr>
              <w:pStyle w:val="Compact"/>
              <w:jc w:val="right"/>
            </w:pPr>
            <w:r>
              <w:t xml:space="preserve">79,080</w:t>
            </w:r>
          </w:p>
        </w:tc>
        <w:tc>
          <w:tcPr/>
          <w:p>
            <w:pPr>
              <w:pStyle w:val="Compact"/>
              <w:jc w:val="right"/>
            </w:pPr>
            <w:r>
              <w:t xml:space="preserve">(73.6)</w:t>
            </w:r>
          </w:p>
        </w:tc>
        <w:tc>
          <w:tcPr/>
          <w:p>
            <w:pPr>
              <w:pStyle w:val="Compact"/>
              <w:jc w:val="right"/>
            </w:pPr>
            <w:r>
              <w:t xml:space="preserve">n.s.</w:t>
            </w:r>
          </w:p>
        </w:tc>
        <w:tc>
          <w:tcPr/>
          <w:p>
            <w:pPr>
              <w:pStyle w:val="Compact"/>
              <w:jc w:val="left"/>
            </w:pPr>
            <w:r>
              <w:t xml:space="preserve">M4 + FSTS×ICRV, FSTS²×ICRV (interactions NS)</w:t>
            </w:r>
          </w:p>
        </w:tc>
      </w:tr>
    </w:tbl>
    <w:p>
      <w:pPr>
        <w:pStyle w:val="BodyText"/>
      </w:pPr>
      <w:r>
        <w:rPr>
          <w:iCs/>
          <w:i/>
        </w:rPr>
        <w:t xml:space="preserve">Note.</w:t>
      </w:r>
      <w:r>
        <w:t xml:space="preserve"> </w:t>
      </w:r>
      <w:r>
        <w:t xml:space="preserve">Turning point from −β₁/(2β₂) + mean(FSTS), confirmed by the Lind–Mehlum (2010) test (LM p). All models carry two-way (economy, year) fixed effects throughout; SEs clustered by economy. In M8 the ICRV main effect is absorbed by economy fixed effects and the FSTS×ICRV interactions are not significant, so the pooled turning point is not identified; the institutional structure appears instead in the per-ICRV turning points (Table 4). Reproducible via</w:t>
      </w:r>
      <w:r>
        <w:t xml:space="preserve"> </w:t>
      </w:r>
      <w:r>
        <w:rPr>
          <w:rStyle w:val="VerbatimChar"/>
        </w:rPr>
        <w:t xml:space="preserve">scripts/p7_full_ladder.py</w:t>
      </w:r>
      <w:r>
        <w:t xml:space="preserve">.</w:t>
      </w:r>
    </w:p>
    <w:p>
      <w:pPr>
        <w:pStyle w:val="BodyText"/>
      </w:pPr>
      <w:r>
        <w:rPr>
          <w:bCs/>
          <w:b/>
        </w:rPr>
        <w:t xml:space="preserve">Table 3: Key coefficient estimates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M2</w:t>
            </w:r>
          </w:p>
        </w:tc>
        <w:tc>
          <w:tcPr/>
          <w:p>
            <w:pPr>
              <w:pStyle w:val="Compact"/>
              <w:jc w:val="right"/>
            </w:pPr>
            <w:r>
              <w:t xml:space="preserve">M4</w:t>
            </w:r>
          </w:p>
        </w:tc>
        <w:tc>
          <w:tcPr/>
          <w:p>
            <w:pPr>
              <w:pStyle w:val="Compact"/>
              <w:jc w:val="right"/>
            </w:pPr>
            <w:r>
              <w:t xml:space="preserve">M5</w:t>
            </w:r>
          </w:p>
        </w:tc>
        <w:tc>
          <w:tcPr/>
          <w:p>
            <w:pPr>
              <w:pStyle w:val="Compact"/>
              <w:jc w:val="right"/>
            </w:pPr>
            <w:r>
              <w:t xml:space="preserve">M6</w:t>
            </w:r>
          </w:p>
        </w:tc>
        <w:tc>
          <w:tcPr/>
          <w:p>
            <w:pPr>
              <w:pStyle w:val="Compact"/>
              <w:jc w:val="right"/>
            </w:pPr>
            <w:r>
              <w:t xml:space="preserve">M7</w:t>
            </w:r>
          </w:p>
        </w:tc>
        <w:tc>
          <w:tcPr/>
          <w:p>
            <w:pPr>
              <w:pStyle w:val="Compact"/>
              <w:jc w:val="right"/>
            </w:pPr>
            <w:r>
              <w:t xml:space="preserve">M8</w:t>
            </w:r>
          </w:p>
        </w:tc>
      </w:tr>
      <w:tr>
        <w:tc>
          <w:tcPr/>
          <w:p>
            <w:pPr>
              <w:pStyle w:val="Compact"/>
              <w:jc w:val="left"/>
            </w:pPr>
            <w:r>
              <w:t xml:space="preserve">FSTS (β₁)</w:t>
            </w:r>
          </w:p>
        </w:tc>
        <w:tc>
          <w:tcPr/>
          <w:p>
            <w:pPr>
              <w:pStyle w:val="Compact"/>
              <w:jc w:val="right"/>
            </w:pPr>
            <w:r>
              <w:t xml:space="preserve">+1.188***</w:t>
            </w:r>
          </w:p>
        </w:tc>
        <w:tc>
          <w:tcPr/>
          <w:p>
            <w:pPr>
              <w:pStyle w:val="Compact"/>
              <w:jc w:val="right"/>
            </w:pPr>
            <w:r>
              <w:t xml:space="preserve">+0.499***</w:t>
            </w:r>
          </w:p>
        </w:tc>
        <w:tc>
          <w:tcPr/>
          <w:p>
            <w:pPr>
              <w:pStyle w:val="Compact"/>
              <w:jc w:val="right"/>
            </w:pPr>
            <w:r>
              <w:t xml:space="preserve">+0.457***</w:t>
            </w:r>
          </w:p>
        </w:tc>
        <w:tc>
          <w:tcPr/>
          <w:p>
            <w:pPr>
              <w:pStyle w:val="Compact"/>
              <w:jc w:val="right"/>
            </w:pPr>
            <w:r>
              <w:t xml:space="preserve">+0.704***</w:t>
            </w:r>
          </w:p>
        </w:tc>
        <w:tc>
          <w:tcPr/>
          <w:p>
            <w:pPr>
              <w:pStyle w:val="Compact"/>
              <w:jc w:val="right"/>
            </w:pPr>
            <w:r>
              <w:t xml:space="preserve">+0.505***</w:t>
            </w:r>
          </w:p>
        </w:tc>
        <w:tc>
          <w:tcPr/>
          <w:p>
            <w:pPr>
              <w:pStyle w:val="Compact"/>
              <w:jc w:val="right"/>
            </w:pPr>
            <w:r>
              <w:t xml:space="preserve">+0.806†</w:t>
            </w:r>
          </w:p>
        </w:tc>
      </w:tr>
      <w:tr>
        <w:tc>
          <w:tcPr/>
          <w:p>
            <w:pPr>
              <w:pStyle w:val="Compact"/>
              <w:jc w:val="left"/>
            </w:pPr>
            <w:r>
              <w:t xml:space="preserve">FSTS² (β₂)</w:t>
            </w:r>
          </w:p>
        </w:tc>
        <w:tc>
          <w:tcPr/>
          <w:p>
            <w:pPr>
              <w:pStyle w:val="Compact"/>
              <w:jc w:val="right"/>
            </w:pPr>
            <w:r>
              <w:t xml:space="preserve">−1.398***</w:t>
            </w:r>
          </w:p>
        </w:tc>
        <w:tc>
          <w:tcPr/>
          <w:p>
            <w:pPr>
              <w:pStyle w:val="Compact"/>
              <w:jc w:val="right"/>
            </w:pPr>
            <w:r>
              <w:t xml:space="preserve">−0.721***</w:t>
            </w:r>
          </w:p>
        </w:tc>
        <w:tc>
          <w:tcPr/>
          <w:p>
            <w:pPr>
              <w:pStyle w:val="Compact"/>
              <w:jc w:val="right"/>
            </w:pPr>
            <w:r>
              <w:t xml:space="preserve">−0.652**</w:t>
            </w:r>
          </w:p>
        </w:tc>
        <w:tc>
          <w:tcPr/>
          <w:p>
            <w:pPr>
              <w:pStyle w:val="Compact"/>
              <w:jc w:val="right"/>
            </w:pPr>
            <w:r>
              <w:t xml:space="preserve">−0.924***</w:t>
            </w:r>
          </w:p>
        </w:tc>
        <w:tc>
          <w:tcPr/>
          <w:p>
            <w:pPr>
              <w:pStyle w:val="Compact"/>
              <w:jc w:val="right"/>
            </w:pPr>
            <w:r>
              <w:t xml:space="preserve">−0.720***</w:t>
            </w:r>
          </w:p>
        </w:tc>
        <w:tc>
          <w:tcPr/>
          <w:p>
            <w:pPr>
              <w:pStyle w:val="Compact"/>
              <w:jc w:val="right"/>
            </w:pPr>
            <w:r>
              <w:t xml:space="preserve">−0.624</w:t>
            </w:r>
          </w:p>
        </w:tc>
      </w:tr>
      <w:tr>
        <w:tc>
          <w:tcPr/>
          <w:p>
            <w:pPr>
              <w:pStyle w:val="Compact"/>
              <w:jc w:val="left"/>
            </w:pPr>
            <w:r>
              <w:t xml:space="preserve">TCI_z</w:t>
            </w:r>
          </w:p>
        </w:tc>
        <w:tc>
          <w:tcPr/>
          <w:p>
            <w:pPr>
              <w:pStyle w:val="Compact"/>
              <w:jc w:val="right"/>
            </w:pPr>
            <w:r>
              <w:t xml:space="preserve">—</w:t>
            </w:r>
          </w:p>
        </w:tc>
        <w:tc>
          <w:tcPr/>
          <w:p>
            <w:pPr>
              <w:pStyle w:val="Compact"/>
              <w:jc w:val="right"/>
            </w:pPr>
            <w:r>
              <w:t xml:space="preserve">+0.108***</w:t>
            </w:r>
          </w:p>
        </w:tc>
        <w:tc>
          <w:tcPr/>
          <w:p>
            <w:pPr>
              <w:pStyle w:val="Compact"/>
              <w:jc w:val="right"/>
            </w:pPr>
            <w:r>
              <w:t xml:space="preserve">+0.115***</w:t>
            </w:r>
          </w:p>
        </w:tc>
        <w:tc>
          <w:tcPr/>
          <w:p>
            <w:pPr>
              <w:pStyle w:val="Compact"/>
              <w:jc w:val="right"/>
            </w:pPr>
            <w:r>
              <w:t xml:space="preserve">+0.108***</w:t>
            </w:r>
          </w:p>
        </w:tc>
        <w:tc>
          <w:tcPr/>
          <w:p>
            <w:pPr>
              <w:pStyle w:val="Compact"/>
              <w:jc w:val="right"/>
            </w:pPr>
            <w:r>
              <w:t xml:space="preserve">+0.108***</w:t>
            </w:r>
          </w:p>
        </w:tc>
        <w:tc>
          <w:tcPr/>
          <w:p>
            <w:pPr>
              <w:pStyle w:val="Compact"/>
              <w:jc w:val="right"/>
            </w:pPr>
            <w:r>
              <w:t xml:space="preserve">+0.107***</w:t>
            </w:r>
          </w:p>
        </w:tc>
      </w:tr>
      <w:tr>
        <w:tc>
          <w:tcPr/>
          <w:p>
            <w:pPr>
              <w:pStyle w:val="Compact"/>
              <w:jc w:val="left"/>
            </w:pPr>
            <w:r>
              <w:t xml:space="preserve">DAI</w:t>
            </w:r>
          </w:p>
        </w:tc>
        <w:tc>
          <w:tcPr/>
          <w:p>
            <w:pPr>
              <w:pStyle w:val="Compact"/>
              <w:jc w:val="right"/>
            </w:pPr>
            <w:r>
              <w:t xml:space="preserve">—</w:t>
            </w:r>
          </w:p>
        </w:tc>
        <w:tc>
          <w:tcPr/>
          <w:p>
            <w:pPr>
              <w:pStyle w:val="Compact"/>
              <w:jc w:val="right"/>
            </w:pPr>
            <w:r>
              <w:t xml:space="preserve">+0.219***</w:t>
            </w:r>
          </w:p>
        </w:tc>
        <w:tc>
          <w:tcPr/>
          <w:p>
            <w:pPr>
              <w:pStyle w:val="Compact"/>
              <w:jc w:val="right"/>
            </w:pPr>
            <w:r>
              <w:t xml:space="preserve">+0.219***</w:t>
            </w:r>
          </w:p>
        </w:tc>
        <w:tc>
          <w:tcPr/>
          <w:p>
            <w:pPr>
              <w:pStyle w:val="Compact"/>
              <w:jc w:val="right"/>
            </w:pPr>
            <w:r>
              <w:t xml:space="preserve">+0.201***</w:t>
            </w:r>
          </w:p>
        </w:tc>
        <w:tc>
          <w:tcPr/>
          <w:p>
            <w:pPr>
              <w:pStyle w:val="Compact"/>
              <w:jc w:val="right"/>
            </w:pPr>
            <w:r>
              <w:t xml:space="preserve">+0.218***</w:t>
            </w:r>
          </w:p>
        </w:tc>
        <w:tc>
          <w:tcPr/>
          <w:p>
            <w:pPr>
              <w:pStyle w:val="Compact"/>
              <w:jc w:val="right"/>
            </w:pPr>
            <w:r>
              <w:t xml:space="preserve">+0.220***</w:t>
            </w:r>
          </w:p>
        </w:tc>
      </w:tr>
      <w:tr>
        <w:tc>
          <w:tcPr/>
          <w:p>
            <w:pPr>
              <w:pStyle w:val="Compact"/>
              <w:jc w:val="left"/>
            </w:pPr>
            <w:r>
              <w:t xml:space="preserve">FSTS×TCI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−0.270</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+0.252</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mgr experience (z)</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+0.002</w:t>
            </w:r>
          </w:p>
        </w:tc>
        <w:tc>
          <w:tcPr/>
          <w:p>
            <w:pPr>
              <w:pStyle w:val="Compact"/>
              <w:jc w:val="right"/>
            </w:pPr>
            <w:r>
              <w:t xml:space="preserve">—</w:t>
            </w:r>
          </w:p>
        </w:tc>
      </w:tr>
      <w:tr>
        <w:tc>
          <w:tcPr/>
          <w:p>
            <w:pPr>
              <w:pStyle w:val="Compact"/>
              <w:jc w:val="left"/>
            </w:pPr>
            <w:r>
              <w:t xml:space="preserve">female manager</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w:t>
            </w:r>
          </w:p>
        </w:tc>
      </w:tr>
      <w:tr>
        <w:tc>
          <w:tcPr/>
          <w:p>
            <w:pPr>
              <w:pStyle w:val="Compact"/>
              <w:jc w:val="left"/>
            </w:pPr>
            <w:r>
              <w:t xml:space="preserve">FSTS×ICRV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−0.086</w:t>
            </w:r>
          </w:p>
        </w:tc>
      </w:tr>
      <w:tr>
        <w:tc>
          <w:tcPr/>
          <w:p>
            <w:pPr>
              <w:pStyle w:val="Compact"/>
              <w:jc w:val="left"/>
            </w:pPr>
            <w:r>
              <w:t xml:space="preserve">FSTS²×ICRV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−0.013</w:t>
            </w:r>
          </w:p>
        </w:tc>
      </w:tr>
      <w:tr>
        <w:tc>
          <w:tcPr/>
          <w:p>
            <w:pPr>
              <w:pStyle w:val="Compact"/>
              <w:jc w:val="left"/>
            </w:pPr>
            <w:r>
              <w:t xml:space="preserve">N</w:t>
            </w:r>
          </w:p>
        </w:tc>
        <w:tc>
          <w:tcPr/>
          <w:p>
            <w:pPr>
              <w:pStyle w:val="Compact"/>
              <w:jc w:val="right"/>
            </w:pPr>
            <w:r>
              <w:t xml:space="preserve">81,022</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75,029</w:t>
            </w:r>
          </w:p>
        </w:tc>
        <w:tc>
          <w:tcPr/>
          <w:p>
            <w:pPr>
              <w:pStyle w:val="Compact"/>
              <w:jc w:val="right"/>
            </w:pPr>
            <w:r>
              <w:t xml:space="preserve">79,080</w:t>
            </w:r>
          </w:p>
        </w:tc>
      </w:tr>
    </w:tbl>
    <w:p>
      <w:pPr>
        <w:pStyle w:val="BodyText"/>
      </w:pPr>
      <w:r>
        <w:rPr>
          <w:iCs/>
          <w:i/>
        </w:rPr>
        <w:t xml:space="preserve">Note.</w:t>
      </w:r>
      <w:r>
        <w:t xml:space="preserve"> </w:t>
      </w:r>
      <w:r>
        <w:t xml:space="preserve">Two-way FE (economy, year); SEs clustered by economy. *** p &lt; .001, ** p &lt; .01, * p &lt; .05, † p &lt; .10. Capability (TCI, DAI) carries robust positive level effects throughout; none of the FSTS×capability or FSTS×ICRV interaction terms is significant — the pooled curve is reshaped by neither capability nor a linear institutional gradient. Reproducible via</w:t>
      </w:r>
      <w:r>
        <w:t xml:space="preserve"> </w:t>
      </w:r>
      <w:r>
        <w:rPr>
          <w:rStyle w:val="VerbatimChar"/>
        </w:rPr>
        <w:t xml:space="preserve">scripts/p7_full_ladder.py</w:t>
      </w:r>
      <w:r>
        <w:t xml:space="preserve">.</w:t>
      </w:r>
    </w:p>
    <w:p>
      <w:pPr>
        <w:pStyle w:val="BodyText"/>
      </w:pPr>
      <w:r>
        <w:rPr>
          <w:bCs/>
          <w:b/>
        </w:rPr>
        <w:t xml:space="preserve">Table 4: Turning points within each ICRV regime</w:t>
      </w:r>
      <w:r>
        <w:t xml:space="preserve"> </w:t>
      </w:r>
      <w:r>
        <w:t xml:space="preserve">(capability-adjusted M4 form; two-way FE)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ICRV group</w:t>
            </w:r>
          </w:p>
        </w:tc>
        <w:tc>
          <w:tcPr/>
          <w:p>
            <w:pPr>
              <w:pStyle w:val="Compact"/>
              <w:jc w:val="right"/>
            </w:pPr>
            <w:r>
              <w:t xml:space="preserve">N</w:t>
            </w:r>
          </w:p>
        </w:tc>
        <w:tc>
          <w:tcPr/>
          <w:p>
            <w:pPr>
              <w:pStyle w:val="Compact"/>
              <w:jc w:val="right"/>
            </w:pPr>
            <w:r>
              <w:t xml:space="preserve">β₁</w:t>
            </w:r>
          </w:p>
        </w:tc>
        <w:tc>
          <w:tcPr/>
          <w:p>
            <w:pPr>
              <w:pStyle w:val="Compact"/>
              <w:jc w:val="right"/>
            </w:pPr>
            <w:r>
              <w:t xml:space="preserve">β₂</w:t>
            </w:r>
          </w:p>
        </w:tc>
        <w:tc>
          <w:tcPr/>
          <w:p>
            <w:pPr>
              <w:pStyle w:val="Compact"/>
              <w:jc w:val="right"/>
            </w:pPr>
            <w:r>
              <w:t xml:space="preserve">Turning point (%)</w:t>
            </w:r>
          </w:p>
        </w:tc>
        <w:tc>
          <w:tcPr/>
          <w:p>
            <w:pPr>
              <w:pStyle w:val="Compact"/>
              <w:jc w:val="left"/>
            </w:pPr>
            <w:r>
              <w:t xml:space="preserve">Reading</w:t>
            </w:r>
          </w:p>
        </w:tc>
      </w:tr>
      <w:tr>
        <w:tc>
          <w:tcPr/>
          <w:p>
            <w:pPr>
              <w:pStyle w:val="Compact"/>
              <w:jc w:val="left"/>
            </w:pPr>
            <w:r>
              <w:t xml:space="preserve">I Advanced innovation (incl. Japan)</w:t>
            </w:r>
          </w:p>
        </w:tc>
        <w:tc>
          <w:tcPr/>
          <w:p>
            <w:pPr>
              <w:pStyle w:val="Compact"/>
              <w:jc w:val="right"/>
            </w:pPr>
            <w:r>
              <w:t xml:space="preserve">5,581</w:t>
            </w:r>
          </w:p>
        </w:tc>
        <w:tc>
          <w:tcPr/>
          <w:p>
            <w:pPr>
              <w:pStyle w:val="Compact"/>
              <w:jc w:val="right"/>
            </w:pPr>
            <w:r>
              <w:t xml:space="preserve">+0.707</w:t>
            </w:r>
          </w:p>
        </w:tc>
        <w:tc>
          <w:tcPr/>
          <w:p>
            <w:pPr>
              <w:pStyle w:val="Compact"/>
              <w:jc w:val="right"/>
            </w:pPr>
            <w:r>
              <w:t xml:space="preserve">−0.504</w:t>
            </w:r>
          </w:p>
        </w:tc>
        <w:tc>
          <w:tcPr/>
          <w:p>
            <w:pPr>
              <w:pStyle w:val="Compact"/>
              <w:jc w:val="right"/>
            </w:pPr>
            <w:r>
              <w:t xml:space="preserve">≈ 80</w:t>
            </w:r>
          </w:p>
        </w:tc>
        <w:tc>
          <w:tcPr/>
          <w:p>
            <w:pPr>
              <w:pStyle w:val="Compact"/>
              <w:jc w:val="left"/>
            </w:pPr>
            <w:r>
              <w:t xml:space="preserve">near-linear (beyond range)</w:t>
            </w:r>
          </w:p>
        </w:tc>
      </w:tr>
      <w:tr>
        <w:tc>
          <w:tcPr/>
          <w:p>
            <w:pPr>
              <w:pStyle w:val="Compact"/>
              <w:jc w:val="left"/>
            </w:pPr>
            <w:r>
              <w:t xml:space="preserve">II Advanced resource (GCC)</w:t>
            </w:r>
          </w:p>
        </w:tc>
        <w:tc>
          <w:tcPr/>
          <w:p>
            <w:pPr>
              <w:pStyle w:val="Compact"/>
              <w:jc w:val="right"/>
            </w:pPr>
            <w:r>
              <w:t xml:space="preserve">2,075</w:t>
            </w:r>
          </w:p>
        </w:tc>
        <w:tc>
          <w:tcPr/>
          <w:p>
            <w:pPr>
              <w:pStyle w:val="Compact"/>
              <w:jc w:val="right"/>
            </w:pPr>
            <w:r>
              <w:t xml:space="preserve">+0.774</w:t>
            </w:r>
          </w:p>
        </w:tc>
        <w:tc>
          <w:tcPr/>
          <w:p>
            <w:pPr>
              <w:pStyle w:val="Compact"/>
              <w:jc w:val="right"/>
            </w:pPr>
            <w:r>
              <w:t xml:space="preserve">−0.730</w:t>
            </w:r>
          </w:p>
        </w:tc>
        <w:tc>
          <w:tcPr/>
          <w:p>
            <w:pPr>
              <w:pStyle w:val="Compact"/>
              <w:jc w:val="right"/>
            </w:pPr>
            <w:r>
              <w:t xml:space="preserve">56.6</w:t>
            </w:r>
          </w:p>
        </w:tc>
        <w:tc>
          <w:tcPr/>
          <w:p>
            <w:pPr>
              <w:pStyle w:val="Compact"/>
              <w:jc w:val="left"/>
            </w:pPr>
            <w:r>
              <w:t xml:space="preserve">broad inverted-U</w:t>
            </w:r>
          </w:p>
        </w:tc>
      </w:tr>
      <w:tr>
        <w:tc>
          <w:tcPr/>
          <w:p>
            <w:pPr>
              <w:pStyle w:val="Compact"/>
              <w:jc w:val="left"/>
            </w:pPr>
            <w:r>
              <w:t xml:space="preserve">III Upper-middle</w:t>
            </w:r>
          </w:p>
        </w:tc>
        <w:tc>
          <w:tcPr/>
          <w:p>
            <w:pPr>
              <w:pStyle w:val="Compact"/>
              <w:jc w:val="right"/>
            </w:pPr>
            <w:r>
              <w:t xml:space="preserve">12,055</w:t>
            </w:r>
          </w:p>
        </w:tc>
        <w:tc>
          <w:tcPr/>
          <w:p>
            <w:pPr>
              <w:pStyle w:val="Compact"/>
              <w:jc w:val="right"/>
            </w:pPr>
            <w:r>
              <w:t xml:space="preserve">+0.174</w:t>
            </w:r>
          </w:p>
        </w:tc>
        <w:tc>
          <w:tcPr/>
          <w:p>
            <w:pPr>
              <w:pStyle w:val="Compact"/>
              <w:jc w:val="right"/>
            </w:pPr>
            <w:r>
              <w:t xml:space="preserve">−0.189</w:t>
            </w:r>
          </w:p>
        </w:tc>
        <w:tc>
          <w:tcPr/>
          <w:p>
            <w:pPr>
              <w:pStyle w:val="Compact"/>
              <w:jc w:val="right"/>
            </w:pPr>
            <w:r>
              <w:t xml:space="preserve">56.4</w:t>
            </w:r>
          </w:p>
        </w:tc>
        <w:tc>
          <w:tcPr/>
          <w:p>
            <w:pPr>
              <w:pStyle w:val="Compact"/>
              <w:jc w:val="left"/>
            </w:pPr>
            <w:r>
              <w:t xml:space="preserve">weak/flat</w:t>
            </w:r>
          </w:p>
        </w:tc>
      </w:tr>
      <w:tr>
        <w:tc>
          <w:tcPr/>
          <w:p>
            <w:pPr>
              <w:pStyle w:val="Compact"/>
              <w:jc w:val="left"/>
            </w:pPr>
            <w:r>
              <w:t xml:space="preserve">IV Lower-middle transition</w:t>
            </w:r>
          </w:p>
        </w:tc>
        <w:tc>
          <w:tcPr/>
          <w:p>
            <w:pPr>
              <w:pStyle w:val="Compact"/>
              <w:jc w:val="right"/>
            </w:pPr>
            <w:r>
              <w:t xml:space="preserve">42,094</w:t>
            </w:r>
          </w:p>
        </w:tc>
        <w:tc>
          <w:tcPr/>
          <w:p>
            <w:pPr>
              <w:pStyle w:val="Compact"/>
              <w:jc w:val="right"/>
            </w:pPr>
            <w:r>
              <w:t xml:space="preserve">+0.689</w:t>
            </w:r>
          </w:p>
        </w:tc>
        <w:tc>
          <w:tcPr/>
          <w:p>
            <w:pPr>
              <w:pStyle w:val="Compact"/>
              <w:jc w:val="right"/>
            </w:pPr>
            <w:r>
              <w:t xml:space="preserve">−1.012</w:t>
            </w:r>
          </w:p>
        </w:tc>
        <w:tc>
          <w:tcPr/>
          <w:p>
            <w:pPr>
              <w:pStyle w:val="Compact"/>
              <w:jc w:val="right"/>
            </w:pPr>
            <w:r>
              <w:rPr>
                <w:bCs/>
                <w:b/>
              </w:rPr>
              <w:t xml:space="preserve">≈ 43</w:t>
            </w:r>
          </w:p>
        </w:tc>
        <w:tc>
          <w:tcPr/>
          <w:p>
            <w:pPr>
              <w:pStyle w:val="Compact"/>
              <w:jc w:val="left"/>
            </w:pPr>
            <w:r>
              <w:t xml:space="preserve">sharp inverted-U</w:t>
            </w:r>
          </w:p>
        </w:tc>
      </w:tr>
      <w:tr>
        <w:tc>
          <w:tcPr/>
          <w:p>
            <w:pPr>
              <w:pStyle w:val="Compact"/>
              <w:jc w:val="left"/>
            </w:pPr>
            <w:r>
              <w:t xml:space="preserve">V Emerging</w:t>
            </w:r>
          </w:p>
        </w:tc>
        <w:tc>
          <w:tcPr/>
          <w:p>
            <w:pPr>
              <w:pStyle w:val="Compact"/>
              <w:jc w:val="right"/>
            </w:pPr>
            <w:r>
              <w:t xml:space="preserve">15,457</w:t>
            </w:r>
          </w:p>
        </w:tc>
        <w:tc>
          <w:tcPr/>
          <w:p>
            <w:pPr>
              <w:pStyle w:val="Compact"/>
              <w:jc w:val="right"/>
            </w:pPr>
            <w:r>
              <w:t xml:space="preserve">+0.235</w:t>
            </w:r>
          </w:p>
        </w:tc>
        <w:tc>
          <w:tcPr/>
          <w:p>
            <w:pPr>
              <w:pStyle w:val="Compact"/>
              <w:jc w:val="right"/>
            </w:pPr>
            <w:r>
              <w:t xml:space="preserve">−0.455</w:t>
            </w:r>
          </w:p>
        </w:tc>
        <w:tc>
          <w:tcPr/>
          <w:p>
            <w:pPr>
              <w:pStyle w:val="Compact"/>
              <w:jc w:val="right"/>
            </w:pPr>
            <w:r>
              <w:t xml:space="preserve">36.8</w:t>
            </w:r>
          </w:p>
        </w:tc>
        <w:tc>
          <w:tcPr/>
          <w:p>
            <w:pPr>
              <w:pStyle w:val="Compact"/>
              <w:jc w:val="left"/>
            </w:pPr>
            <w:r>
              <w:t xml:space="preserve">dissolving</w:t>
            </w:r>
          </w:p>
        </w:tc>
      </w:tr>
      <w:tr>
        <w:tc>
          <w:tcPr/>
          <w:p>
            <w:pPr>
              <w:pStyle w:val="Compact"/>
              <w:jc w:val="left"/>
            </w:pPr>
            <w:r>
              <w:t xml:space="preserve">VI Pacific SIDS</w:t>
            </w:r>
          </w:p>
        </w:tc>
        <w:tc>
          <w:tcPr/>
          <w:p>
            <w:pPr>
              <w:pStyle w:val="Compact"/>
              <w:jc w:val="right"/>
            </w:pPr>
            <w:r>
              <w:t xml:space="preserve">1,818</w:t>
            </w:r>
          </w:p>
        </w:tc>
        <w:tc>
          <w:tcPr/>
          <w:p>
            <w:pPr>
              <w:pStyle w:val="Compact"/>
              <w:jc w:val="right"/>
            </w:pPr>
            <w:r>
              <w:t xml:space="preserve">−0.681</w:t>
            </w:r>
          </w:p>
        </w:tc>
        <w:tc>
          <w:tcPr/>
          <w:p>
            <w:pPr>
              <w:pStyle w:val="Compact"/>
              <w:jc w:val="right"/>
            </w:pPr>
            <w:r>
              <w:t xml:space="preserve">+0.870</w:t>
            </w:r>
          </w:p>
        </w:tc>
        <w:tc>
          <w:tcPr/>
          <w:p>
            <w:pPr>
              <w:pStyle w:val="Compact"/>
              <w:jc w:val="right"/>
            </w:pPr>
            <w:r>
              <w:t xml:space="preserve">—</w:t>
            </w:r>
          </w:p>
        </w:tc>
        <w:tc>
          <w:tcPr/>
          <w:p>
            <w:pPr>
              <w:pStyle w:val="Compact"/>
              <w:jc w:val="left"/>
            </w:pPr>
            <w:r>
              <w:t xml:space="preserve">no inverted-U (FIP)</w:t>
            </w:r>
          </w:p>
        </w:tc>
      </w:tr>
    </w:tbl>
    <w:p>
      <w:pPr>
        <w:pStyle w:val="BodyText"/>
      </w:pPr>
      <w:r>
        <w:rPr>
          <w:iCs/>
          <w:i/>
        </w:rPr>
        <w:t xml:space="preserve">Note.</w:t>
      </w:r>
      <w:r>
        <w:t xml:space="preserve"> </w:t>
      </w:r>
      <w:r>
        <w:t xml:space="preserve">Within-group quadratic with controls and two-way FE. The three-zone structure (sharp in the transition regime, near-linear at the top, dissolving at the bottom) is the paper's central institutional finding. Consistent with the dissertation's canonical per-ICRV values.</w:t>
      </w:r>
    </w:p>
    <w:p>
      <w:r>
        <w:pict>
          <v:rect style="width:0;height:1.5pt" o:hralign="center" o:hrstd="t" o:hr="t"/>
        </w:pict>
      </w:r>
    </w:p>
    <w:bookmarkEnd w:id="75"/>
    <w:bookmarkStart w:id="76"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2026-06-14T18:31:46Z</dcterms:created>
  <dcterms:modified xsi:type="dcterms:W3CDTF">2026-06-14T18:31:46Z</dcterms:modified>
</cp:coreProperties>
</file>

<file path=docProps/custom.xml><?xml version="1.0" encoding="utf-8"?>
<Properties xmlns="http://schemas.openxmlformats.org/officeDocument/2006/custom-properties" xmlns:vt="http://schemas.openxmlformats.org/officeDocument/2006/docPropsVTypes"/>
</file>