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Keywords</w:t>
      </w:r>
      <w:r>
        <w:t xml:space="preserve">: internationalization–performance relationship; small</w:t>
      </w:r>
      <w:r>
        <w:t xml:space="preserve"> </w:t>
      </w:r>
      <w:r>
        <w:t xml:space="preserve">island developing states; forced internationalization; institutional voids; Pacific economies; labor productivity</w: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as in Pacific Small Island Developing States (SIDS),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959 firms across seven Pacific SIDS economies (2009–2025), we find that internationalization intensity is robustly and negatively associated with labor productivity (β = −1.339, p &lt; .001 in the country-and-year fixed-effects specification; β = −3.351, p &lt; .001 without country fixed effects; estimation N = 209 complete cases, from the full analysis sample of N = 959), with no significant quadratic curvature. Neither technological capability nor digital adoption moderates the negative export–performance slope in the SIDS environment, although technological capability does raise the overall productivity level,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characteristic of Small Island Developing States (SIDS)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poverty, life expectancy, schooling, gender equality, climate, and electricity,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survival-based internationalization,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959 firms across seven Pacific SIDS economies using World Bank Enterprise Survey (WBES) data, the most comprehensive firm-level I-P analysis in Pacific SIDS to date. Third, we document that firm-level capabilities (technological capability, digital adoption) do not appear to override FIP, shifting the theoretical conversation from</w:t>
      </w:r>
      <w:r>
        <w:t xml:space="preserve"> </w:t>
      </w:r>
      <w:r>
        <w:t xml:space="preserve">“</w:t>
      </w:r>
      <w:r>
        <w:t xml:space="preserve">institutional moderation of the I-P relationship</w:t>
      </w:r>
      <w:r>
        <w:t xml:space="preserve">”</w:t>
      </w:r>
      <w:r>
        <w:t xml:space="preserve"> </w:t>
      </w:r>
      <w:r>
        <w:t xml:space="preserve">(Marano, Tallman, &amp; Teece, 2016) to</w:t>
      </w:r>
      <w:r>
        <w:t xml:space="preserve"> </w:t>
      </w:r>
      <w:r>
        <w:t xml:space="preserve">“</w:t>
      </w:r>
      <w:r>
        <w:t xml:space="preserve">institutional determination of the sign of I-P relationship.</w:t>
      </w:r>
      <w:r>
        <w:t xml:space="preserve">”</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bookmarkEnd w:id="21"/>
    <w:bookmarkStart w:id="26" w:name="theoretical-background-and-hypotheses"/>
    <w:p>
      <w:pPr>
        <w:pStyle w:val="Heading2"/>
      </w:pPr>
      <w:r>
        <w:t xml:space="preserve">2. Theoretical Background and Hypotheses</w:t>
      </w:r>
    </w:p>
    <w:bookmarkStart w:id="22" w:name="Xd1ff7c2b94994d1910854ba407ee8c9b50df341"/>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w:t>
      </w:r>
      <w:r>
        <w:t xml:space="preserve"> </w:t>
      </w:r>
      <w:r>
        <w:t xml:space="preserve">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w:t>
      </w:r>
      <w:r>
        <w:t xml:space="preserve"> </w:t>
      </w:r>
      <w:r>
        <w:t xml:space="preserve">“</w:t>
      </w:r>
      <w:r>
        <w:t xml:space="preserve">selection into exporting</w:t>
      </w:r>
      <w:r>
        <w:t xml:space="preserve">”</w:t>
      </w:r>
      <w:r>
        <w:t xml:space="preserve"> </w:t>
      </w:r>
      <w:r>
        <w:t xml:space="preserve">assumption underlying most I-P models breaks down.</w:t>
      </w:r>
    </w:p>
    <w:p>
      <w:pPr>
        <w:pStyle w:val="BodyText"/>
      </w:pPr>
      <w:r>
        <w:rPr>
          <w:bCs/>
          <w:b/>
        </w:rPr>
        <w:t xml:space="preserve">Prerequisite 2: Manageable trade costs.</w:t>
      </w:r>
      <w:r>
        <w:t xml:space="preserve"> </w:t>
      </w:r>
      <w:r>
        <w:t xml:space="preserve">The standard model assumes</w:t>
      </w:r>
      <w:r>
        <w:t xml:space="preserve"> </w:t>
      </w:r>
      <w:r>
        <w:t xml:space="preserve">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w:t>
      </w:r>
      <w:r>
        <w:t xml:space="preserve"> </w:t>
      </w:r>
      <w:r>
        <w:t xml:space="preserve">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absent financial intermediaries, unreliable contract enforcement, limited trade facilitation infrastructure, do not merely weaken the inverted-U; they may eliminate the mechanism generating positive returns from internationalization entirely.</w:t>
      </w:r>
    </w:p>
    <w:bookmarkEnd w:id="22"/>
    <w:bookmarkStart w:id="23" w:name="Xb7db0e39015cb6f3662a52d47fb6342a9feb2fb"/>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w:t>
      </w:r>
      <w:r>
        <w:t xml:space="preserve"> </w:t>
      </w:r>
      <w:r>
        <w:t xml:space="preserve">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w:t>
      </w:r>
      <w:r>
        <w:t xml:space="preserve"> </w:t>
      </w:r>
      <w:r>
        <w:t xml:space="preserve">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w:t>
      </w:r>
      <w:r>
        <w:t xml:space="preserve"> </w:t>
      </w:r>
      <w:r>
        <w:t xml:space="preserve">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w:t>
      </w:r>
      <w:r>
        <w:t xml:space="preserve"> </w:t>
      </w:r>
      <w:r>
        <w:t xml:space="preserve">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6db7ec46da19cbe734f496417815d07c46d6d99"/>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w:t>
      </w:r>
      <w:r>
        <w:t xml:space="preserve"> </w:t>
      </w:r>
      <w:r>
        <w:t xml:space="preserve">intensity is negatively associated with firm performance with no significant quadratic turning point, indicating Forced Internationalization Penalty rather than an inverted-U relationship.</w:t>
      </w:r>
    </w:p>
    <w:bookmarkEnd w:id="24"/>
    <w:bookmarkStart w:id="25" w:name="the-role-of-firm-level-capabilities"/>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achieve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w:t>
      </w:r>
      <w:r>
        <w:t xml:space="preserve"> </w:t>
      </w:r>
      <w:r>
        <w:t xml:space="preserve">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bookmarkEnd w:id="25"/>
    <w:bookmarkEnd w:id="26"/>
    <w:bookmarkStart w:id="30" w:name="data-and-methods"/>
    <w:p>
      <w:pPr>
        <w:pStyle w:val="Heading2"/>
      </w:pPr>
      <w:r>
        <w:t xml:space="preserve">3. Data and Methods</w:t>
      </w:r>
    </w:p>
    <w:bookmarkStart w:id="27" w:name="data-source"/>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20–99,100+ employees) and sectors (manufacturing, services, retail). We include all firm-year observations from economies meeting the SIDS classification: Fiji, Kiribati, Papua New Guinea, Samoa, Solomon Islands, Tonga, and Vanuatu (seven economies). The analysis sample, observations with non-missing values for labor productivity, export intensity, and firm age, comprises</w:t>
      </w:r>
      <w:r>
        <w:t xml:space="preserve"> </w:t>
      </w:r>
      <w:r>
        <w:rPr>
          <w:bCs/>
          <w:b/>
        </w:rPr>
        <w:t xml:space="preserve">959 firms</w:t>
      </w:r>
      <w:r>
        <w:t xml:space="preserve"> </w:t>
      </w:r>
      <w:r>
        <w:t xml:space="preserve">across multiple country-year waves.</w:t>
      </w:r>
    </w:p>
    <w:bookmarkEnd w:id="27"/>
    <w:bookmarkStart w:id="28" w:name="measures"/>
    <w:p>
      <w:pPr>
        <w:pStyle w:val="Heading3"/>
      </w:pPr>
      <w:r>
        <w:t xml:space="preserve">3.2 Measures</w:t>
      </w:r>
    </w:p>
    <w:p>
      <w:pPr>
        <w:pStyle w:val="FirstParagraph"/>
      </w:pPr>
      <w:r>
        <w:rPr>
          <w:bCs/>
          <w:b/>
        </w:rPr>
        <w:t xml:space="preserve">Dependent variable.</w:t>
      </w:r>
      <w:r>
        <w:t xml:space="preserve"> </w:t>
      </w:r>
      <w:r>
        <w:t xml:space="preserve">Log labor productivity (ln_LP) is constructed as</w:t>
      </w:r>
      <w:r>
        <w:t xml:space="preserve"> </w:t>
      </w:r>
      <w:r>
        <w:t xml:space="preserve">the natural logarithm of sales revenue per permanent worker, expressed in constant purchasing-power-parity-adjusted USD: ln(d2/l1). This measure has been used extensively in enterprise-level productivity studies (Goedhuys &amp; Sleuwaegen, 2013; World Bank, 2020). Of the 959 analysis observations, 132 (13.8%) are exporters with FSTS &gt; 0.</w:t>
      </w:r>
    </w:p>
    <w:p>
      <w:pPr>
        <w:pStyle w:val="BodyText"/>
      </w:pPr>
      <w:r>
        <w:rPr>
          <w:bCs/>
          <w:b/>
        </w:rPr>
        <w:t xml:space="preserve">Internationalization intensity.</w:t>
      </w:r>
      <w:r>
        <w:t xml:space="preserve"> </w:t>
      </w:r>
      <w:r>
        <w:t xml:space="preserve">Following the methodology of Haans</w:t>
      </w:r>
      <w:r>
        <w:t xml:space="preserve"> </w:t>
      </w:r>
      <w:r>
        <w:t xml:space="preserve">et al. (2016) and Contractor et al. (2003), we construct FSTS (Foreign Sales to Total Sales) from WBES item d3c (percentage of sales exported), divided by 100. For the main models, FSTS is mean-centered at the wave level: FSTS_c = FSTS − mean_wave(FSTS), yielding a mean FSTS of 0.048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w:t>
      </w:r>
      <w:r>
        <w:t xml:space="preserve"> </w:t>
      </w:r>
      <w:r>
        <w:t xml:space="preserve">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w:t>
      </w:r>
      <w:r>
        <w:t xml:space="preserve"> </w:t>
      </w:r>
      <w:r>
        <w:t xml:space="preserve">(firm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w:t>
      </w:r>
      <w:r>
        <w:t xml:space="preserve"> </w:t>
      </w:r>
      <w:r>
        <w:t xml:space="preserve">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pct" w:w="5000"/>
        <w:tblLook w:firstRow="1" w:lastRow="0" w:firstColumn="0" w:lastColumn="0" w:noHBand="0" w:noVBand="0" w:val="0020"/>
        <w:jc w:val="start"/>
      </w:tblPr>
      <w:tblGrid>
        <w:gridCol w:w="549"/>
        <w:gridCol w:w="452"/>
        <w:gridCol w:w="3297"/>
        <w:gridCol w:w="362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Tier-1 only</w:t>
            </w:r>
          </w:p>
        </w:tc>
        <w:tc>
          <w:tcPr/>
          <w:p>
            <w:pPr>
              <w:pStyle w:val="Compact"/>
              <w:jc w:val="left"/>
            </w:pPr>
            <w:r>
              <w:t xml:space="preserve">Digital adoption,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(7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w:t>
      </w:r>
      <w:r>
        <w:t xml:space="preserve"> </w:t>
      </w:r>
      <w:r>
        <w:t xml:space="preserve">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model-sequence"/>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 ln_LP_it = α + γ₁ ln_size_it + γ₂</w:t>
      </w:r>
      <w:r>
        <w:t xml:space="preserve"> </w:t>
      </w:r>
      <w:r>
        <w:t xml:space="preserve">firm_age_it + γ₃ foreign_own_pct_it + δ_c + λ_t + ε_it</w:t>
      </w:r>
    </w:p>
    <w:p>
      <w:pPr>
        <w:pStyle w:val="BodyText"/>
      </w:pPr>
      <w:r>
        <w:rPr>
          <w:bCs/>
          <w:b/>
        </w:rPr>
        <w:t xml:space="preserve">M1 (linear FSTS, FIP test)</w:t>
      </w:r>
      <w:r>
        <w:t xml:space="preserve">: ln_LP_it = α + β₁ FSTS_c_it + γ·X_it +</w:t>
      </w:r>
      <w:r>
        <w:t xml:space="preserve"> </w:t>
      </w:r>
      <w:r>
        <w:t xml:space="preserve">δ_c + λ_t + ε_it</w:t>
      </w:r>
    </w:p>
    <w:p>
      <w:pPr>
        <w:pStyle w:val="BodyText"/>
      </w:pPr>
      <w:r>
        <w:rPr>
          <w:bCs/>
          <w:b/>
        </w:rPr>
        <w:t xml:space="preserve">M2 (quadratic FSTS, curvature test)</w:t>
      </w:r>
      <w:r>
        <w:t xml:space="preserve">: ln_LP_it = α + β₁ FSTS_c_it +</w:t>
      </w:r>
      <w:r>
        <w:t xml:space="preserve"> </w:t>
      </w:r>
      <w:r>
        <w:t xml:space="preserve">β₂ FSTS_c²_it + γ·X_it + δ_c + λ_t + ε_it</w:t>
      </w:r>
    </w:p>
    <w:p>
      <w:pPr>
        <w:pStyle w:val="BodyText"/>
      </w:pPr>
      <w:r>
        <w:rPr>
          <w:bCs/>
          <w:b/>
        </w:rPr>
        <w:t xml:space="preserve">M3 (capabilities, moderation null test)</w:t>
      </w:r>
      <w:r>
        <w:t xml:space="preserve">: ln_LP_it = α + β₁</w:t>
      </w:r>
      <w:r>
        <w:t xml:space="preserve"> </w:t>
      </w:r>
      <w:r>
        <w:t xml:space="preserve">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bookmarkEnd w:id="29"/>
    <w:bookmarkEnd w:id="30"/>
    <w:bookmarkStart w:id="37" w:name="results"/>
    <w:p>
      <w:pPr>
        <w:pStyle w:val="Heading2"/>
      </w:pPr>
      <w:r>
        <w:t xml:space="preserve">4. Results</w:t>
      </w:r>
    </w:p>
    <w:bookmarkStart w:id="31" w:name="X7564ed8aad7671c5c72c9705a49a1794e1c47b3"/>
    <w:p>
      <w:pPr>
        <w:pStyle w:val="Heading3"/>
      </w:pPr>
      <w:r>
        <w:t xml:space="preserve">4.1 Sample Description and Preliminary Evidence</w:t>
      </w:r>
    </w:p>
    <w:p>
      <w:pPr>
        <w:pStyle w:val="FirstParagraph"/>
      </w:pPr>
      <w:r>
        <w:t xml:space="preserve">The analysis sample spans 959 firms across seven Pacific SIDS economies. Table 1 reports country-level summary statistics. Exporter representation is thin across all economies (overall 13.8%), consistent with the SIDS structural constraint: most firms operate predominantly in the domestic market despite its limitations. Mean FSTS across the full sample is 0.048, reflecting the low-but-non-zero export engagement of SIDS firms. The country fixed effects absorb substantial variance: R² increases from 0.109 (year FE only) to 0.657 (country + year FE) when country indicators are added, confirming that roughly 83% of explained productivity variance is between-country, a feature consistent with extreme between-country heterogeneity in institutional quality, geographic remoteness, and economic structure.</w:t>
      </w:r>
    </w:p>
    <w:bookmarkEnd w:id="31"/>
    <w:bookmarkStart w:id="32" w:name="X6abbfa22e96478212f3491c4cdbfe1ca192aca8"/>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−1.339</w:t>
      </w:r>
      <w:r>
        <w:t xml:space="preserve">, SE = 0.386, t = −3.47, p =</w:t>
      </w:r>
      <w:r>
        <w:t xml:space="preserve"> </w:t>
      </w:r>
      <w:r>
        <w:rPr>
          <w:bCs/>
          <w:b/>
        </w:rPr>
        <w:t xml:space="preserve">&lt;.001</w:t>
      </w:r>
      <w:r>
        <w:t xml:space="preserve"> </w:t>
      </w:r>
      <w:r>
        <w:t xml:space="preserve">(estimation N = 209 complete cases; full analysis sample N = 959)</w:t>
      </w:r>
    </w:p>
    <w:p>
      <w:pPr>
        <w:pStyle w:val="BodyText"/>
      </w:pPr>
      <w:r>
        <w:t xml:space="preserve">This coefficient is statistically significant at the conventional 5% level and substantively meaningful: a one-unit increase in FSTS is associated with markedly lower labor productivity (a large negative log-point shift; given the thin, low-FSTS support this should be read as directional rather than a precise point elasticity).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0.6567; adding FSTS_c in M1 increases R² to 0.6666,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+0.014, p = .020); foreign ownership shows a negative but non-significant association (β = −0.426, p = .315); firm size is essentially nil (β = +0.002, p = .983).</w:t>
      </w:r>
    </w:p>
    <w:bookmarkEnd w:id="32"/>
    <w:bookmarkStart w:id="33" w:name="Xc0a88d50ea7b5c27a76a85a44afe4aa278d46cd"/>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w:t>
      </w:r>
      <w:r>
        <w:t xml:space="preserve"> </w:t>
      </w:r>
      <w:r>
        <w:t xml:space="preserve">negative I-P relationship is eventually reversed, i.e., whether there is any inverted-U pattern with the positive portion below our data range.</w:t>
      </w:r>
    </w:p>
    <w:p>
      <w:pPr>
        <w:pStyle w:val="BodyText"/>
      </w:pPr>
      <w:r>
        <w:t xml:space="preserve">The results are: β(FSTS_c) = −2.177, SE = 1.603, p = .176 (n.s.) β(FSTS_c²) = +1.125, SE = 1.943, p = .563 (n.s.)</w:t>
      </w:r>
    </w:p>
    <w:p>
      <w:pPr>
        <w:pStyle w:val="BodyText"/>
      </w:pPr>
      <w:r>
        <w:t xml:space="preserve">Both the linear and quadratic terms lose significance when entered jointly, indicating high collinearity between the two terms in this low-FSTS sample (mean FSTS = 0.048).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−2.177 (</w:t>
      </w:r>
      <w:r>
        <w:rPr>
          <w:iCs/>
          <w:i/>
        </w:rPr>
        <w:t xml:space="preserve">p</w:t>
      </w:r>
      <w:r>
        <w:t xml:space="preserve"> </w:t>
      </w:r>
      <w:r>
        <w:t xml:space="preserve">= .176)</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+1.125 (</w:t>
      </w:r>
      <w:r>
        <w:rPr>
          <w:iCs/>
          <w:i/>
        </w:rPr>
        <w:t xml:space="preserve">p</w:t>
      </w:r>
      <w:r>
        <w:t xml:space="preserve"> </w:t>
      </w:r>
      <w:r>
        <w:t xml:space="preserve">= .563),</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−(−2.177) / (2 ×</w:t>
      </w:r>
      <w:r>
        <w:t xml:space="preserve"> </w:t>
      </w:r>
      <w:r>
        <w:t xml:space="preserve">1.125) = 0.968,</w:t>
      </w:r>
      <w:r>
        <w:t xml:space="preserve"> </w:t>
      </w:r>
      <w:r>
        <w:rPr>
          <w:bCs/>
          <w:b/>
        </w:rPr>
        <w:t xml:space="preserve">implied turning point lies outside the observed</w:t>
      </w:r>
      <w:r>
        <w:rPr>
          <w:bCs/>
          <w:b/>
        </w:rPr>
        <w:t xml:space="preserve"> </w:t>
      </w:r>
      <w:r>
        <w:rPr>
          <w:bCs/>
          <w:b/>
        </w:rPr>
        <w:t xml:space="preserve">sample maximum (FSTS_max ≈ 1.0, but neither β₁ nor β₂ is statistically significant)</w:t>
      </w:r>
    </w:p>
    <w:p>
      <w:pPr>
        <w:numPr>
          <w:ilvl w:val="0"/>
          <w:numId w:val="1001"/>
        </w:numPr>
        <w:pStyle w:val="Compact"/>
      </w:pPr>
      <w:r>
        <w:rPr>
          <w:bCs/>
          <w:b/>
        </w:rPr>
        <w:t xml:space="preserve">C4</w:t>
      </w:r>
      <w:r>
        <w:t xml:space="preserve"> </w:t>
      </w:r>
      <w:r>
        <w:t xml:space="preserve">(Lind–Mehlum utest, Lind &amp; Mehlum, 2010): the test</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robustness"/>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w:t>
      </w:r>
      <w:r>
        <w:t xml:space="preserve"> </w:t>
      </w:r>
      <w:r>
        <w:t xml:space="preserve">fixed effects, which might absorb too much structural variation yields a substantially larger negative effect:</w:t>
      </w:r>
    </w:p>
    <w:p>
      <w:pPr>
        <w:pStyle w:val="BodyText"/>
      </w:pPr>
      <w:r>
        <w:t xml:space="preserve">β(FSTS) =</w:t>
      </w:r>
      <w:r>
        <w:t xml:space="preserve"> </w:t>
      </w:r>
      <w:r>
        <w:rPr>
          <w:bCs/>
          <w:b/>
        </w:rPr>
        <w:t xml:space="preserve">−3.351</w:t>
      </w:r>
      <w:r>
        <w:t xml:space="preserve">, SE = 0.808, t = −4.15,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w:t>
      </w:r>
      <w:r>
        <w:t xml:space="preserve"> </w:t>
      </w:r>
      <w:r>
        <w:t xml:space="preserve">(no controls) yields:</w:t>
      </w:r>
    </w:p>
    <w:p>
      <w:pPr>
        <w:pStyle w:val="BodyText"/>
      </w:pPr>
      <w:r>
        <w:t xml:space="preserve">β(FSTS) =</w:t>
      </w:r>
      <w:r>
        <w:t xml:space="preserve"> </w:t>
      </w:r>
      <w:r>
        <w:rPr>
          <w:bCs/>
          <w:b/>
        </w:rPr>
        <w:t xml:space="preserve">−0.864</w:t>
      </w:r>
      <w:r>
        <w:t xml:space="preserve">, SE = 0.441, t = −1.96, p =</w:t>
      </w:r>
      <w:r>
        <w:t xml:space="preserve"> </w:t>
      </w:r>
      <w:r>
        <w:rPr>
          <w:bCs/>
          <w:b/>
        </w:rPr>
        <w:t xml:space="preserve">.050</w:t>
      </w:r>
    </w:p>
    <w:p>
      <w:pPr>
        <w:pStyle w:val="BodyText"/>
      </w:pPr>
      <w:r>
        <w:t xml:space="preserve">The monotone negative pattern persists without conditioning on firm characteristics, though it is only marginally significant in the unconditional specification (p = .050).</w:t>
      </w:r>
    </w:p>
    <w:p>
      <w:pPr>
        <w:pStyle w:val="BodyText"/>
      </w:pPr>
      <w:r>
        <w:rPr>
          <w:bCs/>
          <w:b/>
        </w:rPr>
        <w:t xml:space="preserve">Exporters-only subsample</w:t>
      </w:r>
      <w:r>
        <w:t xml:space="preserve"> </w:t>
      </w:r>
      <w:r>
        <w:t xml:space="preserve">(132 exporters): Among active exporters</w:t>
      </w:r>
      <w:r>
        <w:t xml:space="preserve"> </w:t>
      </w:r>
      <w:r>
        <w:t xml:space="preserve">(FSTS &gt; 0), the negative effect is:</w:t>
      </w:r>
    </w:p>
    <w:p>
      <w:pPr>
        <w:pStyle w:val="BodyText"/>
      </w:pPr>
      <w:r>
        <w:t xml:space="preserve">β(FSTS_c) =</w:t>
      </w:r>
      <w:r>
        <w:t xml:space="preserve"> </w:t>
      </w:r>
      <w:r>
        <w:rPr>
          <w:bCs/>
          <w:b/>
        </w:rPr>
        <w:t xml:space="preserve">−1.176</w:t>
      </w:r>
      <w:r>
        <w:t xml:space="preserve">, p =</w:t>
      </w:r>
      <w:r>
        <w:t xml:space="preserve"> </w:t>
      </w:r>
      <w:r>
        <w:rPr>
          <w:bCs/>
          <w:b/>
        </w:rPr>
        <w:t xml:space="preserve">.130</w:t>
      </w:r>
      <w:r>
        <w:t xml:space="preserve"> </w:t>
      </w:r>
      <w:r>
        <w:t xml:space="preserve">(n.s.)</w:t>
      </w:r>
    </w:p>
    <w:p>
      <w:pPr>
        <w:pStyle w:val="BodyText"/>
      </w:pPr>
      <w:r>
        <w:t xml:space="preserve">The exporter subsample with complete controls is very small (N = 26), so this specification is underpowered and the coefficient is not significant; the result is directionally consistent with FIP but cannot, on its own, rule out selection. The fixed-effects evidence (M1, M_yearFE) provides the stronger basis for the FIP inference.</w:t>
      </w:r>
    </w:p>
    <w:bookmarkEnd w:id="34"/>
    <w:bookmarkStart w:id="35" w:name="capability-null-results-h2"/>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w:t>
      </w:r>
      <w:r>
        <w:t xml:space="preserve"> </w:t>
      </w:r>
      <w:r>
        <w:t xml:space="preserve">Technological capability is positively and significantly associated with productivity, whereas digital adoption is not:</w:t>
      </w:r>
    </w:p>
    <w:p>
      <w:pPr>
        <w:pStyle w:val="BodyText"/>
      </w:pPr>
      <w:r>
        <w:t xml:space="preserve">β(TCI_z) = +0.299, SE = 0.099, p = .003 β(DAI_z) = +0.094, SE =</w:t>
      </w:r>
      <w:r>
        <w:t xml:space="preserve"> </w:t>
      </w:r>
      <w:r>
        <w:t xml:space="preserve">0.088, p = .285 (n.s.)</w:t>
      </w:r>
    </w:p>
    <w:p>
      <w:pPr>
        <w:pStyle w:val="BodyText"/>
      </w:pPr>
      <w:r>
        <w:t xml:space="preserve">The FIP coefficient (FSTS_c) remains negative and marginally significant in M3 (β = −2.979, p = .056), likely reflecting the substantially reduced sample (N = 205 for M3, versus N = 209 for M1, both reflecting attrition from the 959-firm analysis sample due to missing control and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Entered as direct terms (not interactions), technological capability (TCI_z: β = +0.299, p = .003) raises the productivity level while digital adoption (DAI_z: β = +0.094, p = .285) does not; neither alters the negative FSTS slope, so H2 (non-moderation of the I-P slope) holds in Pacific SIDS, consistent with the FIP mechanism overwhelming capability effects in structurally constrained economies. The positive TCI_z estimate (significant) and the smaller, non-significant DAI_z estimate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summary"/>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−1.339, p &lt; .001); (ii) no significant quadratic curvature or turning point (M2: both FSTS_c and FSTS_c² non-significant); (iii) negative across specifications (M_yearFE: β = −3.351, p &lt; .001; M_bivariate: β = −0.864, p = .050; exporters-only: β = −1.176, p = .130, n.s.); and (iv) no capability moderation of the slope (M3 adds TCI_z and DAI_z as direct terms: TCI_z p = .003 raises the level, DAI_z p = .285).</w:t>
      </w:r>
    </w:p>
    <w:bookmarkEnd w:id="36"/>
    <w:bookmarkEnd w:id="37"/>
    <w:bookmarkStart w:id="43" w:name="discussion"/>
    <w:p>
      <w:pPr>
        <w:pStyle w:val="Heading2"/>
      </w:pPr>
      <w:r>
        <w:t xml:space="preserve">5. Discussion</w:t>
      </w:r>
    </w:p>
    <w:bookmarkStart w:id="38" w:name="Xd4d8ec5bfb52f8d3fe2e7c438ba390b633573fa"/>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firms cannot accumulate the home-base resources and organizational capabilities that fund and sustain profitable internationalization. When trade costs amplify export revenues’</w:t>
      </w:r>
      <w:r>
        <w:t xml:space="preserve"> </w:t>
      </w:r>
      <w:r>
        <w:t xml:space="preserve">“</w:t>
      </w:r>
      <w:r>
        <w:t xml:space="preserve">cost of doing business</w:t>
      </w:r>
      <w:r>
        <w:t xml:space="preserve">”</w:t>
      </w:r>
      <w:r>
        <w:t xml:space="preserve"> </w:t>
      </w:r>
      <w:r>
        <w:t xml:space="preserve">by 30–210% (Winters &amp; Martins, 2004), the marginal economics of exporting are negative from the outset. When institutional voids are comprehensive, absent trade finance intermediaries, unreliable contract enforcement, limited standards infrastructure,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w:t>
      </w:r>
      <w:r>
        <w:t xml:space="preserve"> </w:t>
      </w:r>
      <w:r>
        <w:t xml:space="preserve">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w:t>
      </w:r>
      <w:r>
        <w:t xml:space="preserve"> </w:t>
      </w:r>
      <w:r>
        <w:t xml:space="preserve">“</w:t>
      </w:r>
      <w:r>
        <w:t xml:space="preserve">weaker moderation</w:t>
      </w:r>
      <w:r>
        <w:t xml:space="preserve">”</w:t>
      </w:r>
      <w:r>
        <w:t xml:space="preserve"> </w:t>
      </w:r>
      <w:r>
        <w:t xml:space="preserve">to</w:t>
      </w:r>
      <w:r>
        <w:t xml:space="preserve"> </w:t>
      </w:r>
      <w:r>
        <w:t xml:space="preserve">“</w:t>
      </w:r>
      <w:r>
        <w:t xml:space="preserve">violated prerequisites,</w:t>
      </w:r>
      <w:r>
        <w:t xml:space="preserve">”</w:t>
      </w:r>
      <w:r>
        <w:t xml:space="preserve"> </w:t>
      </w:r>
      <w:r>
        <w:t xml:space="preserve">the sign, not just the magnitude, of the I-P relationship reverses.</w:t>
      </w:r>
    </w:p>
    <w:bookmarkEnd w:id="38"/>
    <w:bookmarkStart w:id="39" w:name="Xbadf487e3d91c7f5e5de16c24aa3b4c984ad28e"/>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simultaneously, the I-P functional form is not a modified inverted-U but a qualitatively different pattern (monotone negative). This extends the theoretical vocabulary of IB research beyond</w:t>
      </w:r>
      <w:r>
        <w:t xml:space="preserve"> </w:t>
      </w:r>
      <w:r>
        <w:t xml:space="preserve">“</w:t>
      </w:r>
      <w:r>
        <w:t xml:space="preserve">intensity moderation</w:t>
      </w:r>
      <w:r>
        <w:t xml:space="preserve">”</w:t>
      </w:r>
      <w:r>
        <w:t xml:space="preserve"> </w:t>
      </w:r>
      <w:r>
        <w:t xml:space="preserve">toward</w:t>
      </w:r>
      <w:r>
        <w:t xml:space="preserve"> </w:t>
      </w:r>
      <w:r>
        <w:t xml:space="preserve">“</w:t>
      </w:r>
      <w:r>
        <w:t xml:space="preserve">existence moderation</w:t>
      </w:r>
      <w:r>
        <w:t xml:space="preserve">”</w:t>
      </w:r>
      <w:r>
        <w:t xml:space="preserve"> </w:t>
      </w:r>
      <w:r>
        <w:t xml:space="preserve">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not merely in need of adjustment, but representing a qualitatively different theoretical regime. FIP offers a theoretically grounded label for that alternative regime.</w:t>
      </w:r>
    </w:p>
    <w:bookmarkEnd w:id="39"/>
    <w:bookmarkStart w:id="40" w:name="X83134c98a606fe0940406da95e076e069d717cc"/>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Vietnam, Singapore, China, and multi-country samples,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w:t>
      </w:r>
      <w:r>
        <w:t xml:space="preserve"> </w:t>
      </w:r>
      <w:r>
        <w:t xml:space="preserve">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w:t>
      </w:r>
      <w:r>
        <w:t xml:space="preserve"> </w:t>
      </w:r>
      <w:r>
        <w:t xml:space="preserve">“</w:t>
      </w:r>
      <w:r>
        <w:t xml:space="preserve">trapped</w:t>
      </w:r>
      <w:r>
        <w:t xml:space="preserve">”</w:t>
      </w:r>
      <w:r>
        <w:t xml:space="preserve"> </w:t>
      </w:r>
      <w:r>
        <w:t xml:space="preserve">in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capabilities help the level, not the slope, may be a productive direction for future SIDS research.</w:t>
      </w:r>
    </w:p>
    <w:bookmarkEnd w:id="40"/>
    <w:bookmarkStart w:id="41" w:name="Xf8f5a8a03ba0839ca8278bd9312f3d61be61a50"/>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simultaneously addressing the violated structural prerequisites,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standards bodies, trade finance intermediaries, export promotion agencies with genuine capacity,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conditions absent in the SIDS context.</w:t>
      </w:r>
    </w:p>
    <w:bookmarkEnd w:id="41"/>
    <w:bookmarkStart w:id="42" w:name="limitations"/>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where available for Fiji and Papua New Guinea, which have two waves, could strengthen causal identification.</w:t>
      </w:r>
    </w:p>
    <w:p>
      <w:pPr>
        <w:pStyle w:val="BodyText"/>
      </w:pPr>
      <w:r>
        <w:t xml:space="preserve">Second,</w:t>
      </w:r>
      <w:r>
        <w:t xml:space="preserve"> </w:t>
      </w:r>
      <w:r>
        <w:rPr>
          <w:bCs/>
          <w:b/>
        </w:rPr>
        <w:t xml:space="preserve">FSTS measurement in thin-export contexts</w:t>
      </w:r>
      <w:r>
        <w:t xml:space="preserve">: with mean FSTS of</w:t>
      </w:r>
      <w:r>
        <w:t xml:space="preserve"> </w:t>
      </w:r>
      <w:r>
        <w:t xml:space="preserve">0.048 and only 13.8% exporters, the FSTS distribution is highly</w:t>
      </w:r>
      <w:r>
        <w:t xml:space="preserve"> </w:t>
      </w:r>
      <w:r>
        <w:t xml:space="preserve">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Saharan micro-states, remote highland economies, post-conflict settings, may exhibit similar patterns. Caribbean SIDS (not included in our sample) represent a natural extension context.</w:t>
      </w:r>
    </w:p>
    <w:bookmarkEnd w:id="42"/>
    <w:bookmarkEnd w:id="43"/>
    <w:bookmarkStart w:id="44" w:name="conclusions"/>
    <w:p>
      <w:pPr>
        <w:pStyle w:val="Heading2"/>
      </w:pPr>
      <w:r>
        <w:t xml:space="preserve">6. Conclusions</w:t>
      </w:r>
    </w:p>
    <w:p>
      <w:pPr>
        <w:pStyle w:val="FirstParagraph"/>
      </w:pPr>
      <w:r>
        <w:t xml:space="preserve">We introduced the Forced Internationalization Penalty (FIP),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959 firms across seven Pacific SIDS economies, we find robust support for FIP across multiple specifications (β = −1.339, p &lt; .001 in the primary country-and-year fixed-effects model; β = −3.351, p &lt; .001 without country fixed effects; β = −1.176, p = .130 in the exporters-only subsample). The quadratic term is not significant, confirming the monotone negative form with no observable turning point. Digital adoption is null and, although technological capability raises the overall productivity level, neither capability moderates the negative export-performance slope, consistent with the FIP theoretical mechanism.</w:t>
      </w:r>
    </w:p>
    <w:p>
      <w:pPr>
        <w:pStyle w:val="BodyText"/>
      </w:pPr>
      <w:r>
        <w:t xml:space="preserve">These findings contribute to IB theory in two ways. First, they help reorient the discourse on institutional effects from</w:t>
      </w:r>
      <w:r>
        <w:t xml:space="preserve"> </w:t>
      </w:r>
      <w:r>
        <w:t xml:space="preserve">“</w:t>
      </w:r>
      <w:r>
        <w:t xml:space="preserve">institutional moderation of I-P intensity</w:t>
      </w:r>
      <w:r>
        <w:t xml:space="preserve">”</w:t>
      </w:r>
      <w:r>
        <w:t xml:space="preserve"> </w:t>
      </w:r>
      <w:r>
        <w:t xml:space="preserve">to</w:t>
      </w:r>
      <w:r>
        <w:t xml:space="preserve"> </w:t>
      </w:r>
      <w:r>
        <w:t xml:space="preserve">“</w:t>
      </w:r>
      <w:r>
        <w:t xml:space="preserve">institutional determination of I-P sign,</w:t>
      </w:r>
      <w:r>
        <w:t xml:space="preserve">”</w:t>
      </w:r>
      <w:r>
        <w:t xml:space="preserve"> </w:t>
      </w:r>
      <w:r>
        <w:t xml:space="preserve">suggesting that the inverted-U may be conditional on structural prerequisites rather than broadly applicable across contexts. Second, they extend the application of</w:t>
      </w:r>
      <w:r>
        <w:t xml:space="preserve"> </w:t>
      </w:r>
      <w:r>
        <w:t xml:space="preserve">“</w:t>
      </w:r>
      <w:r>
        <w:t xml:space="preserve">forced internationalization</w:t>
      </w:r>
      <w:r>
        <w:t xml:space="preserve">”</w:t>
      </w:r>
      <w:r>
        <w:t xml:space="preserve"> </w:t>
      </w:r>
      <w:r>
        <w:t xml:space="preserve">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not merely the intensification of export activity per se.</w:t>
      </w:r>
    </w:p>
    <w:bookmarkEnd w:id="44"/>
    <w:bookmarkStart w:id="4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45"/>
    <w:bookmarkStart w:id="49"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6">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8">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bookmarkEnd w:id="49"/>
    <w:bookmarkStart w:id="53" w:name="appendix-a-tables"/>
    <w:p>
      <w:pPr>
        <w:pStyle w:val="Heading2"/>
      </w:pPr>
      <w:r>
        <w:t xml:space="preserve">Appendix A: Tables</w:t>
      </w:r>
    </w:p>
    <w:bookmarkStart w:id="50" w:name="Xd18a7fdbbe8955432f108664659551dd8892246"/>
    <w:p>
      <w:pPr>
        <w:pStyle w:val="Heading3"/>
      </w:pPr>
      <w:r>
        <w:t xml:space="preserve">Table 1. Country-Level Summary Statistics</w:t>
      </w:r>
    </w:p>
    <w:tbl>
      <w:tblPr>
        <w:tblStyle w:val="Table"/>
        <w:tblW w:type="pct" w:w="5000"/>
        <w:tblLook w:firstRow="1" w:lastRow="0" w:firstColumn="0" w:lastColumn="0" w:noHBand="0" w:noVBand="0" w:val="0020"/>
        <w:jc w:val="start"/>
      </w:tblPr>
      <w:tblGrid>
        <w:gridCol w:w="1926"/>
        <w:gridCol w:w="1177"/>
        <w:gridCol w:w="1177"/>
        <w:gridCol w:w="1284"/>
        <w:gridCol w:w="1177"/>
        <w:gridCol w:w="1177"/>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959</w:t>
            </w:r>
          </w:p>
        </w:tc>
        <w:tc>
          <w:tcPr/>
          <w:p>
            <w:pPr>
              <w:pStyle w:val="Compact"/>
              <w:jc w:val="left"/>
            </w:pPr>
            <w:r>
              <w:rPr>
                <w:bCs/>
                <w:b/>
              </w:rPr>
              <w:t xml:space="preserve">132</w:t>
            </w:r>
          </w:p>
        </w:tc>
        <w:tc>
          <w:tcPr/>
          <w:p>
            <w:pPr>
              <w:pStyle w:val="Compact"/>
              <w:jc w:val="left"/>
            </w:pPr>
            <w:r>
              <w:rPr>
                <w:bCs/>
                <w:b/>
              </w:rPr>
              <w:t xml:space="preserve">13.8%</w:t>
            </w:r>
          </w:p>
        </w:tc>
        <w:tc>
          <w:tcPr/>
          <w:p>
            <w:pPr>
              <w:pStyle w:val="Compact"/>
              <w:jc w:val="left"/>
            </w:pPr>
            <w:r>
              <w:rPr>
                <w:bCs/>
                <w:b/>
              </w:rPr>
              <w:t xml:space="preserve">0.048</w:t>
            </w:r>
          </w:p>
        </w:tc>
        <w:tc>
          <w:tcPr/>
          <w:p>
            <w:pPr>
              <w:pStyle w:val="Compact"/>
              <w:jc w:val="left"/>
            </w:pPr>
            <w:r>
              <w:t xml:space="preserve">2009–2025</w:t>
            </w:r>
          </w:p>
        </w:tc>
      </w:tr>
    </w:tbl>
    <w:p>
      <w:pPr>
        <w:pStyle w:val="BodyText"/>
      </w:pPr>
      <w:r>
        <w:rPr>
          <w:iCs/>
          <w:i/>
        </w:rPr>
        <w:t xml:space="preserve">Note: Per-country breakdowns (N, exporter count, exporter %, mean FSTS, wave coverage) are not yet populated. The current replication outputs (</w:t>
      </w:r>
      <w:r>
        <w:rPr>
          <w:rStyle w:val="VerbatimChar"/>
        </w:rPr>
        <w:t xml:space="preserve">p8/replication/reanalysis_7pacific/p8_R_summary.csv</w:t>
      </w:r>
      <w:r>
        <w:rPr>
          <w:iCs/>
          <w:i/>
        </w:rPr>
        <w:t xml:space="preserve">) report only pooled totals (N = 959; exporters = 132; 13.8%; mean FSTS = 0.048); a per-country descriptives file has not been generated. [AUTHOR ACTION REQUIRED: generate country-level summary statistics from the analysis sample and fill the seven rows below before submission.] Total N reflects analysis sample (non-missing ln_LP and FSTS). Wave coverage varies by country.</w:t>
      </w:r>
    </w:p>
    <w:bookmarkEnd w:id="50"/>
    <w:bookmarkStart w:id="51" w:name="Xc02e42e5e85356a7e9f67ce8450f39d43a89fec"/>
    <w:p>
      <w:pPr>
        <w:pStyle w:val="Heading3"/>
      </w:pPr>
      <w:r>
        <w:t xml:space="preserve">Table 2. Regression Results: Internationalization Intensity and Labor Productivity</w:t>
      </w:r>
    </w:p>
    <w:tbl>
      <w:tblPr>
        <w:tblStyle w:val="Table"/>
        <w:tblW w:type="pct" w:w="5000"/>
        <w:tblLook w:firstRow="1" w:lastRow="0" w:firstColumn="0" w:lastColumn="0" w:noHBand="0" w:noVBand="0" w:val="0020"/>
        <w:jc w:val="start"/>
      </w:tblPr>
      <w:tblGrid>
        <w:gridCol w:w="1020"/>
        <w:gridCol w:w="1080"/>
        <w:gridCol w:w="1080"/>
        <w:gridCol w:w="1020"/>
        <w:gridCol w:w="1080"/>
        <w:gridCol w:w="1320"/>
        <w:gridCol w:w="1320"/>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−1.339*** (0.386)</w:t>
            </w:r>
          </w:p>
        </w:tc>
        <w:tc>
          <w:tcPr/>
          <w:p>
            <w:pPr>
              <w:pStyle w:val="Compact"/>
              <w:jc w:val="left"/>
            </w:pPr>
            <w:r>
              <w:t xml:space="preserve">−2.177 (1.603)</w:t>
            </w:r>
          </w:p>
        </w:tc>
        <w:tc>
          <w:tcPr/>
          <w:p>
            <w:pPr>
              <w:pStyle w:val="Compact"/>
              <w:jc w:val="left"/>
            </w:pPr>
            <w:r>
              <w:t xml:space="preserve">−2.979. (1.549)</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+1.125 (1.943)</w:t>
            </w:r>
          </w:p>
        </w:tc>
        <w:tc>
          <w:tcPr/>
          <w:p>
            <w:pPr>
              <w:pStyle w:val="Compact"/>
              <w:jc w:val="left"/>
            </w:pPr>
            <w:r>
              <w:t xml:space="preserve">+2.204 (1.796)</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−3.351*** (0.808)</w:t>
            </w:r>
          </w:p>
        </w:tc>
        <w:tc>
          <w:tcPr/>
          <w:p>
            <w:pPr>
              <w:pStyle w:val="Compact"/>
              <w:jc w:val="left"/>
            </w:pPr>
            <w:r>
              <w:t xml:space="preserve">−0.864. (0.441)</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+0.299** (0.099)</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+0.094 (0.088)</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−0.034 (0.089)</w:t>
            </w:r>
          </w:p>
        </w:tc>
        <w:tc>
          <w:tcPr/>
          <w:p>
            <w:pPr>
              <w:pStyle w:val="Compact"/>
              <w:jc w:val="left"/>
            </w:pPr>
            <w:r>
              <w:t xml:space="preserve">+0.002 (0.089)</w:t>
            </w:r>
          </w:p>
        </w:tc>
        <w:tc>
          <w:tcPr/>
          <w:p>
            <w:pPr>
              <w:pStyle w:val="Compact"/>
              <w:jc w:val="left"/>
            </w:pPr>
            <w:r>
              <w:t xml:space="preserve">+0.008 (0.090)</w:t>
            </w:r>
          </w:p>
        </w:tc>
        <w:tc>
          <w:tcPr/>
          <w:p>
            <w:pPr>
              <w:pStyle w:val="Compact"/>
              <w:jc w:val="left"/>
            </w:pPr>
            <w:r>
              <w:t xml:space="preserve">−0.032 (0.089)</w:t>
            </w:r>
          </w:p>
        </w:tc>
        <w:tc>
          <w:tcPr/>
          <w:p>
            <w:pPr>
              <w:pStyle w:val="Compact"/>
              <w:jc w:val="left"/>
            </w:pPr>
            <w:r>
              <w:t xml:space="preserve">−0.102 (0.147)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+0.015* (0.006)</w:t>
            </w:r>
          </w:p>
        </w:tc>
        <w:tc>
          <w:tcPr/>
          <w:p>
            <w:pPr>
              <w:pStyle w:val="Compact"/>
              <w:jc w:val="left"/>
            </w:pPr>
            <w:r>
              <w:t xml:space="preserve">+0.014* (0.006)</w:t>
            </w:r>
          </w:p>
        </w:tc>
        <w:tc>
          <w:tcPr/>
          <w:p>
            <w:pPr>
              <w:pStyle w:val="Compact"/>
              <w:jc w:val="left"/>
            </w:pPr>
            <w:r>
              <w:t xml:space="preserve">+0.014* (0.006)</w:t>
            </w:r>
          </w:p>
        </w:tc>
        <w:tc>
          <w:tcPr/>
          <w:p>
            <w:pPr>
              <w:pStyle w:val="Compact"/>
              <w:jc w:val="left"/>
            </w:pPr>
            <w:r>
              <w:t xml:space="preserve">+0.015* (0.006)</w:t>
            </w:r>
          </w:p>
        </w:tc>
        <w:tc>
          <w:tcPr/>
          <w:p>
            <w:pPr>
              <w:pStyle w:val="Compact"/>
              <w:jc w:val="left"/>
            </w:pPr>
            <w:r>
              <w:t xml:space="preserve">−0.008 (0.010)</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−0.433 (0.433)</w:t>
            </w:r>
          </w:p>
        </w:tc>
        <w:tc>
          <w:tcPr/>
          <w:p>
            <w:pPr>
              <w:pStyle w:val="Compact"/>
              <w:jc w:val="left"/>
            </w:pPr>
            <w:r>
              <w:t xml:space="preserve">−0.426 (0.423)</w:t>
            </w:r>
          </w:p>
        </w:tc>
        <w:tc>
          <w:tcPr/>
          <w:p>
            <w:pPr>
              <w:pStyle w:val="Compact"/>
              <w:jc w:val="left"/>
            </w:pPr>
            <w:r>
              <w:t xml:space="preserve">−0.426 (0.423)</w:t>
            </w:r>
          </w:p>
        </w:tc>
        <w:tc>
          <w:tcPr/>
          <w:p>
            <w:pPr>
              <w:pStyle w:val="Compact"/>
              <w:jc w:val="left"/>
            </w:pPr>
            <w:r>
              <w:t xml:space="preserve">−0.401 (0.449)</w:t>
            </w:r>
          </w:p>
        </w:tc>
        <w:tc>
          <w:tcPr/>
          <w:p>
            <w:pPr>
              <w:pStyle w:val="Compact"/>
              <w:jc w:val="left"/>
            </w:pPr>
            <w:r>
              <w:t xml:space="preserve">+0.297 (0.611)</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205</w:t>
            </w:r>
          </w:p>
        </w:tc>
        <w:tc>
          <w:tcPr/>
          <w:p>
            <w:pPr>
              <w:pStyle w:val="Compact"/>
              <w:jc w:val="left"/>
            </w:pPr>
            <w:r>
              <w:t xml:space="preserve">209</w:t>
            </w:r>
          </w:p>
        </w:tc>
        <w:tc>
          <w:tcPr/>
          <w:p>
            <w:pPr>
              <w:pStyle w:val="Compact"/>
              <w:jc w:val="left"/>
            </w:pPr>
            <w:r>
              <w:t xml:space="preserve">959</w:t>
            </w:r>
          </w:p>
        </w:tc>
      </w:tr>
      <w:tr>
        <w:tc>
          <w:tcPr/>
          <w:p>
            <w:pPr>
              <w:pStyle w:val="Compact"/>
              <w:jc w:val="left"/>
            </w:pPr>
            <w:r>
              <w:t xml:space="preserve">R²</w:t>
            </w:r>
          </w:p>
        </w:tc>
        <w:tc>
          <w:tcPr/>
          <w:p>
            <w:pPr>
              <w:pStyle w:val="Compact"/>
              <w:jc w:val="left"/>
            </w:pPr>
            <w:r>
              <w:t xml:space="preserve">0.657</w:t>
            </w:r>
          </w:p>
        </w:tc>
        <w:tc>
          <w:tcPr/>
          <w:p>
            <w:pPr>
              <w:pStyle w:val="Compact"/>
              <w:jc w:val="left"/>
            </w:pPr>
            <w:r>
              <w:t xml:space="preserve">0.667</w:t>
            </w:r>
          </w:p>
        </w:tc>
        <w:tc>
          <w:tcPr/>
          <w:p>
            <w:pPr>
              <w:pStyle w:val="Compact"/>
              <w:jc w:val="left"/>
            </w:pPr>
            <w:r>
              <w:t xml:space="preserve">0.667</w:t>
            </w:r>
          </w:p>
        </w:tc>
        <w:tc>
          <w:tcPr/>
          <w:p>
            <w:pPr>
              <w:pStyle w:val="Compact"/>
              <w:jc w:val="left"/>
            </w:pPr>
            <w:r>
              <w:t xml:space="preserve">0.678</w:t>
            </w:r>
          </w:p>
        </w:tc>
        <w:tc>
          <w:tcPr/>
          <w:p>
            <w:pPr>
              <w:pStyle w:val="Compact"/>
              <w:jc w:val="left"/>
            </w:pPr>
            <w:r>
              <w:t xml:space="preserve">0.109</w:t>
            </w:r>
          </w:p>
        </w:tc>
        <w:tc>
          <w:tcPr/>
          <w:p>
            <w:pPr>
              <w:pStyle w:val="Compact"/>
              <w:jc w:val="left"/>
            </w:pPr>
            <w:r>
              <w:t xml:space="preserve">0.004</w:t>
            </w:r>
          </w:p>
        </w:tc>
      </w:tr>
    </w:tbl>
    <w:p>
      <w:pPr>
        <w:pStyle w:val="BodyText"/>
      </w:pPr>
      <w:r>
        <w:rPr>
          <w:iCs/>
          <w:i/>
        </w:rPr>
        <w:t xml:space="preserve">Note: Coefficients reported with heteroscedasticity-robust standard</w:t>
      </w:r>
      <w:r>
        <w:rPr>
          <w:iCs/>
          <w:i/>
        </w:rPr>
        <w:t xml:space="preserve"> </w:t>
      </w:r>
      <w:r>
        <w:rPr>
          <w:iCs/>
          <w:i/>
        </w:rPr>
        <w:t xml:space="preserve">errors in parentheses. Country fixed effects absorbed in M0–M3. *** p &lt; .001; ** p &lt; .01; * p &lt; .05; . p &lt; .10.</w:t>
      </w:r>
    </w:p>
    <w:p>
      <w:pPr>
        <w:pStyle w:val="BodyText"/>
      </w:pPr>
      <w:r>
        <w:rPr>
          <w:iCs/>
          <w:i/>
        </w:rPr>
        <w:t xml:space="preserve">Forced Internationalization Penalty (FIP): Confirmed, β(FSTS_c) = −1.339, p &lt; .001 (M1).</w:t>
      </w:r>
    </w:p>
    <w:bookmarkEnd w:id="51"/>
    <w:bookmarkStart w:id="52" w:name="X0663e092ac382c03e02f48bedf26a30118613e9"/>
    <w:p>
      <w:pPr>
        <w:pStyle w:val="Heading3"/>
      </w:pPr>
      <w:r>
        <w:t xml:space="preserve">Table 3. Robustness: Exporters-Only Subsample (N = 132)</w:t>
      </w:r>
    </w:p>
    <w:tbl>
      <w:tblPr>
        <w:tblStyle w:val="Table"/>
        <w:tblW w:type="pct" w:w="5000"/>
        <w:tblLook w:firstRow="1" w:lastRow="0" w:firstColumn="0" w:lastColumn="0" w:noHBand="0" w:noVBand="0" w:val="0020"/>
        <w:jc w:val="start"/>
      </w:tblPr>
      <w:tblGrid>
        <w:gridCol w:w="3190"/>
        <w:gridCol w:w="1210"/>
        <w:gridCol w:w="770"/>
        <w:gridCol w:w="1540"/>
        <w:gridCol w:w="1210"/>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w:t>
            </w:r>
          </w:p>
        </w:tc>
        <w:tc>
          <w:tcPr/>
          <w:p>
            <w:pPr>
              <w:pStyle w:val="Compact"/>
              <w:jc w:val="left"/>
            </w:pPr>
            <w:r>
              <w:t xml:space="preserve">Negative (n.s.)</w:t>
            </w:r>
          </w:p>
        </w:tc>
      </w:tr>
      <w:tr>
        <w:tc>
          <w:tcPr/>
          <w:p>
            <w:pPr>
              <w:pStyle w:val="Compact"/>
              <w:jc w:val="left"/>
            </w:pPr>
            <w:r>
              <w:t xml:space="preserve">M1 full sample</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c>
          <w:tcPr/>
          <w:p>
            <w:pPr>
              <w:pStyle w:val="Compact"/>
              <w:jc w:val="left"/>
            </w:pPr>
            <w:r>
              <w:t xml:space="preserve">Negative</w:t>
            </w:r>
          </w:p>
        </w:tc>
      </w:tr>
    </w:tbl>
    <w:p>
      <w:pPr>
        <w:pStyle w:val="BodyText"/>
      </w:pPr>
      <w:r>
        <w:rPr>
          <w:iCs/>
          <w:i/>
        </w:rPr>
        <w:t xml:space="preserve">Note: The penalty is negative across specifications and strongest in the fixed-effects models. The exporters-only result (β = −1.176) is directionally consistent but not significant (N = 26; underpowered), so it cannot by itself rule out adverse selection.</w:t>
      </w:r>
    </w:p>
    <w:bookmarkEnd w:id="52"/>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2026-06-09T08:56:19Z</dcterms:created>
  <dcterms:modified xsi:type="dcterms:W3CDTF">2026-06-09T08:56:19Z</dcterms:modified>
</cp:coreProperties>
</file>

<file path=docProps/custom.xml><?xml version="1.0" encoding="utf-8"?>
<Properties xmlns="http://schemas.openxmlformats.org/officeDocument/2006/custom-properties" xmlns:vt="http://schemas.openxmlformats.org/officeDocument/2006/docPropsVTypes"/>
</file>