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w:t>
      </w:r>
      <w:r>
        <w:t xml:space="preserve"> </w:t>
      </w:r>
      <w:r>
        <w:t xml:space="preserve">island developing states; forced internationalization; institutional voids; Pacific economies; labor productivity</w: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as in Pacific Small Island Developing States (SIDS),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959 firms across seven Pacific SIDS economies (2009–2025), we find that internationalization intensity is robustly and negatively associated with labor productivity (β = −1.339, p &lt; .001 in the country-and-year fixed-effects specification; β = −3.351, p &lt; .001 without country fixed effects; estimation N = 209 complete cases, from the full analysis sample of N = 959), with no significant quadratic curvature. Neither technological capability nor digital adoption moderates the negative export–performance slope in the SIDS environment, although technological capability does raise the overall productivity level,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959 firms across seven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 significant quadratic turning point,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20–99,100+ employees) and sectors (manufacturing, services, retail). We include all firm-year observations from economies meeting the SIDS classification: Fiji, Kiribati, Papua New Guinea, Samoa, Solomon Islands, Tonga, and Vanuatu (seven economies). The analysis sample, observations with non-missing values for labor productivity, export intensity, and firm age, comprises</w:t>
      </w:r>
      <w:r>
        <w:t xml:space="preserve"> </w:t>
      </w:r>
      <w:r>
        <w:rPr>
          <w:bCs/>
          <w:b/>
        </w:rPr>
        <w:t xml:space="preserve">959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 in constant purchasing-power-parity-adjusted USD: ln(d2/l1). This measure has been used extensively in enterprise-level productivity studies (Goedhuys &amp; Sleuwaegen, 2013; World Bank, 2020). Of the 959 analysis observations, 132 (13.8%)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 Sales to Total Sales) from WBES item d3c (percentage of sales exported), divided by 100. For the main models, FSTS is mean-centered at the wave level: FSTS_c = FSTS − mean_wave(FSTS), yielding a mean FSTS of 0.048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(7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959 firms across seven Pacific SIDS economies. Table 1 reports country-level summary statistics. Exporter representation is thin across all economies (overall 13.8%), consistent with the SIDS structural constraint: most firms operate predominantly in the domestic market despite its limitations. Mean FSTS across the full sample is 0.048, reflecting the low-but-non-zero export engagement of SIDS firms. The country fixed effects absorb substantial variance: R² increases from 0.109 (year FE only) to 0.657 (country + year FE) when country indicators are added, confirming that roughly 83% of explained productivity variance is between-country,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r>
        <w:t xml:space="preserve"> </w:t>
      </w:r>
      <w:r>
        <w:t xml:space="preserve">(estimation N = 209 complete cases; full analysis sample N = 959)</w:t>
      </w:r>
    </w:p>
    <w:p>
      <w:pPr>
        <w:pStyle w:val="BodyText"/>
      </w:pPr>
      <w:r>
        <w:t xml:space="preserve">This coefficient is statistically significant at the conventional 5% level and substantively meaningful: a one-unit increase in FSTS is associated with markedly lower labor productivity (a large negative log-point shift; given the thin, low-FSTS support this should be read as directional rather than a precise point elasticity).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0.6567; adding FSTS_c in M1 increases R² to 0.6666,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+0.014, p = .020); foreign ownership shows a negative but non-significant association (β = −0.426, p = .315); firm size is essentially nil (β = +0.002, p = .983).</w:t>
      </w:r>
    </w:p>
    <w:bookmarkEnd w:id="32"/>
    <w:bookmarkStart w:id="33"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 is any inverted-U pattern with the positive portion below our data range.</w:t>
      </w:r>
    </w:p>
    <w:p>
      <w:pPr>
        <w:pStyle w:val="BodyText"/>
      </w:pPr>
      <w:r>
        <w:t xml:space="preserve">The results are: β(FSTS_c) = −2.177, SE = 1.603, p = .176 (n.s.) β(FSTS_c²) = +1.125, SE = 1.943, p = .563 (n.s.)</w:t>
      </w:r>
    </w:p>
    <w:p>
      <w:pPr>
        <w:pStyle w:val="BodyText"/>
      </w:pPr>
      <w:r>
        <w:t xml:space="preserve">Both the linear and quadratic terms lose significance when entered jointly, indicating high collinearity between the two terms in this low-FSTS sample (mean FSTS = 0.048).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−2.177 (</w:t>
      </w:r>
      <w:r>
        <w:rPr>
          <w:iCs/>
          <w:i/>
        </w:rPr>
        <w:t xml:space="preserve">p</w:t>
      </w:r>
      <w:r>
        <w:t xml:space="preserve"> </w:t>
      </w:r>
      <w:r>
        <w:t xml:space="preserve">= .176)</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+1.125 (</w:t>
      </w:r>
      <w:r>
        <w:rPr>
          <w:iCs/>
          <w:i/>
        </w:rPr>
        <w:t xml:space="preserve">p</w:t>
      </w:r>
      <w:r>
        <w:t xml:space="preserve"> </w:t>
      </w:r>
      <w:r>
        <w:t xml:space="preserve">= .563),</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−(−2.177) / (2 ×</w:t>
      </w:r>
      <w:r>
        <w:t xml:space="preserve"> </w:t>
      </w:r>
      <w:r>
        <w:t xml:space="preserve">1.125) = 0.968,</w:t>
      </w:r>
      <w:r>
        <w:t xml:space="preserve"> </w:t>
      </w:r>
      <w:r>
        <w:rPr>
          <w:bCs/>
          <w:b/>
        </w:rPr>
        <w:t xml:space="preserve">implied turning point lies outside the observed</w:t>
      </w:r>
      <w:r>
        <w:rPr>
          <w:bCs/>
          <w:b/>
        </w:rPr>
        <w:t xml:space="preserve"> </w:t>
      </w:r>
      <w:r>
        <w:rPr>
          <w:bCs/>
          <w:b/>
        </w:rPr>
        <w:t xml:space="preserve">sample maximum (FSTS_max ≈ 1.0, but neither β₁ nor β₂ is statistically significant)</w:t>
      </w:r>
    </w:p>
    <w:p>
      <w:pPr>
        <w:numPr>
          <w:ilvl w:val="0"/>
          <w:numId w:val="1001"/>
        </w:numPr>
        <w:pStyle w:val="Compact"/>
      </w:pPr>
      <w:r>
        <w:rPr>
          <w:bCs/>
          <w:b/>
        </w:rPr>
        <w:t xml:space="preserve">C4</w:t>
      </w:r>
      <w:r>
        <w:t xml:space="preserve"> </w:t>
      </w:r>
      <w:r>
        <w:t xml:space="preserve">(Lind–Mehlum utest, Lind &amp; Mehlum, 2010): the test</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 yields a substantially larger negative effect:</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The monotone negative pattern persists without conditioning on firm characteristics, though it is only marginally significant in the unconditional specification (p = .050).</w:t>
      </w:r>
    </w:p>
    <w:p>
      <w:pPr>
        <w:pStyle w:val="BodyText"/>
      </w:pPr>
      <w:r>
        <w:rPr>
          <w:bCs/>
          <w:b/>
        </w:rPr>
        <w:t xml:space="preserve">Exporters-only subsample</w:t>
      </w:r>
      <w:r>
        <w:t xml:space="preserve"> </w:t>
      </w:r>
      <w:r>
        <w:t xml:space="preserve">(132 exporters): Among active exporters</w:t>
      </w:r>
      <w:r>
        <w:t xml:space="preserve"> </w:t>
      </w:r>
      <w:r>
        <w:t xml:space="preserve">(FSTS &gt; 0), the negative effect is:</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The exporter subsample with complete controls is very small (N = 26), so this specification is underpowered and the coefficient is not significant; the result is directionally consistent with FIP but cannot, on its own, rule out selection. The fixed-effects evidence (M1, M_yearFE) provides the stronger basis for the FIP inference.</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Technological capability is positively and significantly associated with productivity, whereas digital adoption is not:</w:t>
      </w:r>
    </w:p>
    <w:p>
      <w:pPr>
        <w:pStyle w:val="BodyText"/>
      </w:pPr>
      <w:r>
        <w:t xml:space="preserve">β(TCI_z) = +0.299, SE = 0.099, p = .003 β(DAI_z) = +0.094, SE =</w:t>
      </w:r>
      <w:r>
        <w:t xml:space="preserve"> </w:t>
      </w:r>
      <w:r>
        <w:t xml:space="preserve">0.088, p = .285 (n.s.)</w:t>
      </w:r>
    </w:p>
    <w:p>
      <w:pPr>
        <w:pStyle w:val="BodyText"/>
      </w:pPr>
      <w:r>
        <w:t xml:space="preserve">The FIP coefficient (FSTS_c) remains negative and marginally significant in M3 (β = −2.979, p = .056), likely reflecting the substantially reduced sample (N = 205 for M3, versus N = 209 for M1, both reflecting attrition from the 959-firm analysis sample due to missing control and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Entered as direct terms (not interactions), technological capability (TCI_z: β = +0.299, p = .003) raises the productivity level while digital adoption (DAI_z: β = +0.094, p = .285) does not; neither alters the negative FSTS slope, so H2 (non-moderation of the I-P slope) holds in Pacific SIDS, consistent with the FIP mechanism overwhelming capability effects in structurally constrained economies. The positive TCI_z estimate (significant) and the smaller, non-significant DAI_z estimate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−1.339, p &lt; .001); (ii) no significant quadratic curvature or turning point (M2: both FSTS_c and FSTS_c² non-significant); (iii) negative across specifications (M_yearFE: β = −3.351, p &lt; .001; M_bivariate: β = −0.864, p = .050; exporters-only: β = −1.176, p = .130, n.s.); and (iv) no capability moderation of the slope (M3 adds TCI_z and DAI_z as direct terms: TCI_z p = .003 raises the level, DAI_z p = .285).</w: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 the sign, not just the magnitude,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and Papua New Guinea,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0.048 and only 13.8% exporters, the FSTS distribution is highly</w:t>
      </w:r>
      <w:r>
        <w:t xml:space="preserve"> </w:t>
      </w:r>
      <w:r>
        <w:t xml:space="preserve">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959 firms across seven Pacific SIDS economies, we find robust support for FIP across multiple specifications (β = −1.339, p &lt; .001 in the primary country-and-year fixed-effects model; β = −3.351, p &lt; .001 without country fixed effects; β = −1.176, p = .130 in the exporters-only subsample). The quadratic term is not significant, confirming the monotone negative form with no observable turning point. Digital adoption is null and, although technological capability raises the overall productivity level, neither capability moderates the negative export-performance slope,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bookmarkEnd w:id="44"/>
    <w:bookmarkStart w:id="4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5"/>
    <w:bookmarkStart w:id="49"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6">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8">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49"/>
    <w:bookmarkStart w:id="53" w:name="appendix-a-tables"/>
    <w:p>
      <w:pPr>
        <w:pStyle w:val="Heading2"/>
      </w:pPr>
      <w:r>
        <w:t xml:space="preserve">Appendix A: Tables</w:t>
      </w:r>
    </w:p>
    <w:bookmarkStart w:id="50"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Note: Per-country breakdowns (N, exporter count, exporter %, mean FSTS, wave coverage) are not yet populated. The current replication outputs (</w:t>
      </w:r>
      <w:r>
        <w:rPr>
          <w:rStyle w:val="VerbatimChar"/>
        </w:rPr>
        <w:t xml:space="preserve">p8/replication/reanalysis_7pacific/p8_R_summary.csv</w:t>
      </w:r>
      <w:r>
        <w:rPr>
          <w:iCs/>
          <w:i/>
        </w:rPr>
        <w:t xml:space="preserve">) report only pooled totals (N = 959; exporters = 132; 13.8%; mean FSTS = 0.048); a per-country descriptives file has not been generated. [AUTHOR ACTION REQUIRED: generate country-level summary statistics from the analysis sample and fill the seven rows below before submission.] Total N reflects analysis sample (non-missing ln_LP and FSTS). Wave coverage varies by country.</w:t>
      </w:r>
    </w:p>
    <w:bookmarkEnd w:id="50"/>
    <w:bookmarkStart w:id="51"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 &lt; .001; ** p &lt; .01; * p &lt; .05; . p &lt; .10.</w:t>
      </w:r>
    </w:p>
    <w:p>
      <w:pPr>
        <w:pStyle w:val="BodyText"/>
      </w:pPr>
      <w:r>
        <w:rPr>
          <w:iCs/>
          <w:i/>
        </w:rPr>
        <w:t xml:space="preserve">Forced Internationalization Penalty (FIP): Confirmed, β(FSTS_c) = −1.339, p &lt; .001 (M1).</w:t>
      </w:r>
    </w:p>
    <w:bookmarkEnd w:id="51"/>
    <w:bookmarkStart w:id="52" w:name="X7775d9c2e75aeee42b06c6b53779c3c2e708831"/>
    <w:p>
      <w:pPr>
        <w:pStyle w:val="Heading3"/>
      </w:pPr>
      <w:r>
        <w:t xml:space="preserve">Table 3. Robustness: Exporters-Only Subsample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Negative (n.s.)</w:t>
            </w:r>
          </w:p>
        </w:tc>
      </w:tr>
      <w:tr>
        <w:tc>
          <w:tcPr/>
          <w:p>
            <w:pPr>
              <w:pStyle w:val="Compact"/>
              <w:jc w:val="left"/>
            </w:pPr>
            <w:r>
              <w:t xml:space="preserve">M1 full sample</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Negative</w:t>
            </w:r>
          </w:p>
        </w:tc>
      </w:tr>
    </w:tbl>
    <w:p>
      <w:pPr>
        <w:pStyle w:val="BodyText"/>
      </w:pPr>
      <w:r>
        <w:rPr>
          <w:iCs/>
          <w:i/>
        </w:rPr>
        <w:t xml:space="preserve">Note: The penalty is negative across specifications and strongest in the fixed-effects models. The exporters-only result (β = −1.176) is directionally consistent but not significant (N = 26; underpowered), so it cannot by itself rule out adverse selection.</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2026-06-09T08:57:41Z</dcterms:created>
  <dcterms:modified xsi:type="dcterms:W3CDTF">2026-06-09T08:57:41Z</dcterms:modified>
</cp:coreProperties>
</file>

<file path=docProps/custom.xml><?xml version="1.0" encoding="utf-8"?>
<Properties xmlns="http://schemas.openxmlformats.org/officeDocument/2006/custom-properties" xmlns:vt="http://schemas.openxmlformats.org/officeDocument/2006/docPropsVTypes"/>
</file>