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gánh nặng quốc tế hóa bắt buộc (Forced Internationalization Penalty, FIP)</w:t>
      </w:r>
      <w:r>
        <w:t xml:space="preserve"> </w:t>
      </w:r>
      <w:r>
        <w:t xml:space="preserve">ở 7 SIDS Thái Bình Dương. Đọc tổng thể, bảy tiểu cảnh không phải các trường hợp rời rạc mà là các vùng trên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hiệu quả quốc tế hóa đạt đỉnh hay sụp đổ; phát hiện này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108 country-year pairs,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2c7f585e09b8fb059a51dfbd43e18e81f2f412a"/>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Có</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Một phần</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phần/Không</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~4.708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theo pool 101.185; tổng 5 nhóm chính (I-V) = 99.814 (phạm vi chính 41 nước châu Á); SIDS Nhóm VI = 1.371 (1,4% pool). Nhóm Advanced (I + II = 6.640) lấy từ pool WBES đã hài hòa hóa; tỷ lệ innovation/resource là xấp xỉ, hao hụt do thiếu dữ liệu năng suất chi tiết ở Bảng 2.3.3.1 (mẫu phân tích Advanced gộp = 5.921).</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~82%.</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(Mục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Mục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82%);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2026-05-27T00:13:16Z</dcterms:created>
  <dcterms:modified xsi:type="dcterms:W3CDTF">2026-05-27T00:13:16Z</dcterms:modified>
</cp:coreProperties>
</file>

<file path=docProps/custom.xml><?xml version="1.0" encoding="utf-8"?>
<Properties xmlns="http://schemas.openxmlformats.org/officeDocument/2006/custom-properties" xmlns:vt="http://schemas.openxmlformats.org/officeDocument/2006/docPropsVTypes"/>
</file>