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25"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FSTS), tỷ trọng tài sản ở nước ngoài trên tổng tài sản (foreign assets to total assets, FATA), và phạm vi địa lý. Với những nghiên cứu dùng dữ liệu doanh nghiệp từ các nền kinh tế đang phát triển và từ Khảo sát Doanh nghiệp của Ngân hàng Thế giới (World Bank Enterprise Surveys,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20"/>
    <w:bookmarkStart w:id="21"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ROA), tỷ suất sinh lời trên vốn chủ sở hữu, và tỷ suất sinh lời trên doanh thu (return on sales,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21"/>
    <w:bookmarkStart w:id="22"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22"/>
    <w:bookmarkStart w:id="23"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TCI) và chỉ số chấp nhận số (Digital Adoption Index,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23"/>
    <w:bookmarkStart w:id="24"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thuần khiết của cấu trúc khái niệm và để rút ra hàm ý chính sách phân biệt được.</w:t>
      </w:r>
    </w:p>
    <w:p>
      <w:r>
        <w:pict>
          <v:rect style="width:0;height:1.5pt" o:hralign="center" o:hrstd="t" o:hr="t"/>
        </w:pict>
      </w:r>
    </w:p>
    <w:bookmarkEnd w:id="24"/>
    <w:bookmarkEnd w:id="25"/>
    <w:bookmarkStart w:id="31"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26"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26"/>
    <w:bookmarkStart w:id="27" w:name="quan-điểm-dựa-trên-nguồn-lực"/>
    <w:p>
      <w:pPr>
        <w:pStyle w:val="Heading3"/>
      </w:pPr>
      <w:r>
        <w:t xml:space="preserve">2.2.2 Quan điểm dựa trên nguồn lực</w:t>
      </w:r>
    </w:p>
    <w:p>
      <w:pPr>
        <w:pStyle w:val="FirstParagraph"/>
      </w:pPr>
      <w:r>
        <w:t xml:space="preserve">Quan điểm dựa trên nguồn lực (resource-based view,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27"/>
    <w:bookmarkStart w:id="28"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thay đổi độ cong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28"/>
    <w:bookmarkStart w:id="29"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khối kiểm soát quản trị nội sinh H4.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Vì lý do đó, và vì năng lực cùng sự đa dạng giới của nhà quản trị có thể đồng thời tác động đến quyết định xuất khẩu, đến năng lực công nghệ và đến năng suất, khung của luận án không nâng đặc điểm nhà quản trị thành một tầng điều tiết trọng tâm mà đưa kinh nghiệm, học vấn và giới tính vào như nhóm biến kiểm soát quản trị nội sinh.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lựa chọn này tránh thiên lệch biến bị bỏ sót và ngăn hiện tượng</w:t>
      </w:r>
      <w:r>
        <w:t xml:space="preserve"> </w:t>
      </w:r>
      <w:r>
        <w:t xml:space="preserve">“</w:t>
      </w:r>
      <w:r>
        <w:t xml:space="preserve">Kitchen Sink Modeling</w:t>
      </w:r>
      <w:r>
        <w:t xml:space="preserve">”</w:t>
      </w:r>
      <w:r>
        <w:t xml:space="preserve"> </w:t>
      </w:r>
      <w:r>
        <w:t xml:space="preserve">làm loãng thông điệp vĩ mô Institution × Technology. Bốn nhân tố điều tiết trọng tâm của khung do đó là TCI (H2), DAI (H3), chế độ thể chế ICRV (H5) và thời gian (H6).</w:t>
      </w:r>
    </w:p>
    <w:bookmarkEnd w:id="29"/>
    <w:bookmarkStart w:id="30"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chi phối độ cong đường cong I-P</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 (kiểm soát quản trị nội sinh, không phải điều tiết trọng tâm độ cong)</w:t>
            </w:r>
          </w:p>
        </w:tc>
        <w:tc>
          <w:tcPr/>
          <w:p>
            <w:pPr>
              <w:pStyle w:val="Compact"/>
              <w:jc w:val="left"/>
            </w:pPr>
            <w:r>
              <w:t xml:space="preserve">H4 (kiểm soát quản trị nội sinh)</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30"/>
    <w:bookmarkEnd w:id="31"/>
    <w:bookmarkStart w:id="35"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ICRV) để lấp khoảng trống đó.</w:t>
      </w:r>
    </w:p>
    <w:bookmarkStart w:id="32"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ICRV), phản ánh đúng bản chất của nó: một dải biến thiên liên tục của bối cảnh thể chế, được rời rạc hóa thành sáu chế độ để tiện cho phân tích so sánh.</w:t>
      </w:r>
    </w:p>
    <w:bookmarkEnd w:id="32"/>
    <w:bookmarkStart w:id="33"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SIDS), gồm các quốc đảo nhỏ đang phát triển (Small Island Developing States,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33"/>
    <w:bookmarkStart w:id="34"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thay đổi độ cong (biên độ) của đường cong: ở môi trường thể chế yếu, chi phí giao dịch xuyên biên giới cao làm độ cong của hình chữ U ngược sâu hơn, hình phạt hiệu quả đối với quốc tế hóa quá mức trở nên gay gắt hơn; ngược lại, ở môi trường thể chế mạnh, đường cong phẳng hơn, gần như tuyến tính. Điểm uốn không dịch chuyển đơn điệu theo chất lượng thể chế mà phân tán quanh mức ~40%.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34"/>
    <w:bookmarkEnd w:id="35"/>
    <w:bookmarkStart w:id="40"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36"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bắt buộc, biểu hiện thành quan hệ tuyến tính âm trong các nền kinh tế buộc phải quốc tế hóa do thị trường nội địa quá nhỏ; đây là pattern đặc thù của các quốc đảo nhỏ Thái Bình Dương, nơi doanh nghiệp phải xuất khẩu để tồn tại nhưng thiếu năng lực cạnh tranh (Briguglio, 1995; Bertram, 2006).</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36"/>
    <w:bookmarkStart w:id="37"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điều tiết đáng kể quan hệ I-P;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phân tích tổng hợp, một phân tích tổng hợp ba tầng theo giao thức PRISMA 2020 với k = 238 nghiên cứu và K = 288 mức độ ảnh hưởng từ châu Á và Thái Bình Dương. phân tích tổng hợp ước lượng tác động tổng hợp r = 0,074 (khoảng tin cậy 95%: 0,060; 0,088), với I² = 62,4%, tái lập và mở rộng mức cơ sở trước đó (r = 0,07, k = 113). Kiểm định khác biệt giữa các chế độ ICRV có ý nghĩa thống kê (Q_M = 17,35, df = 4, p = 0,002), xác nhận rằng dải biến thiên thể chế là một nguồn dị biệt thực chất, dù khác biệt từng cặp phần nào phản ánh thành phần nghiên cứu đơn quốc gia so với đa quốc gia. phân tích tổng hợp cũng phát hiện thiên lệch xuất bản đáng kể: phương pháp trim-and-fill bổ khuyết 58 nghiên cứu còn thiếu, kéo tác động tổng hợp điều chỉnh xuống r = 0,035, vẫn dương nhưng bị suy giảm.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37"/>
    <w:bookmarkStart w:id="38"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Phản ứng quen thuộc của tài liệu là viện đến bối cảnh như một biến điều tiết, nhưng cách làm đó để ngỏ câu hỏi sâu hơn: nếu quan hệ I-P là phi tuyến, thì điều gì quyết định hình dạng và độ cong của nó, và vì sao độ cong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lá chắn số. Các nghiên cứu đơn quốc gia đồng hành làm sắc nét thêm bức tranh này. Trên dữ liệu Việt Nam (Việt Nam), quan hệ chữ U ngược được xác nhận trong cả ba sóng khảo sát 2009, 2015 và 2023, với điểm uốn cụm quanh 39-46% FSTS, một dải bền vững xuyên 14 năm; điều đáng chú ý là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Trên dữ liệu Trung Quốc (Trung Quốc), quan hệ chữ U ngược bền vững về cấu trúc, với điểm uốn 49,4% năm 2012 và 47,2% năm 2024, và kiểm định Paternoster không bác bỏ giả thuyết hai điểm uốn bằng nhau. Trên dữ liệu Singapore (Singapore), quan hệ chủ yếu dương với điểm uốn hàm ý rất muộn ở khoảng 82% FSTS, nhất quán với lợi ích gần như đơn điệu trong một nền kinh tế thể chế mạnh và bão hòa số.</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38"/>
    <w:bookmarkStart w:id="39"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(Việt Nam),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Ở Singapore (Singapore), trong nền kinh tế bão hòa số, DAI không tạo phần thưởng đồng nhất mà hoạt động như một nguồn lực mở rộng tình huống, chỉ phát huy ở cường độ xuất khẩu cao nơi nhu cầu điều phối xuyên biên giới dày đặc, với hệ số tương tác giữa DAI và bình phương FSTS dương mạnh.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39"/>
    <w:bookmarkEnd w:id="40"/>
    <w:bookmarkStart w:id="45" w:name="X571aebe6b94c63b04e26a653f6b78348d98b3f9"/>
    <w:p>
      <w:pPr>
        <w:pStyle w:val="Heading2"/>
      </w:pPr>
      <w:r>
        <w:t xml:space="preserve">2.5 Khoảng trống nghiên cứu và khung khái niệm, giả thuyết của luận án</w:t>
      </w:r>
    </w:p>
    <w:bookmarkStart w:id="41" w:name="các-khoảng-trống-nghiên-cứu"/>
    <w:p>
      <w:pPr>
        <w:pStyle w:val="Heading3"/>
      </w:pPr>
      <w:r>
        <w:t xml:space="preserve">2.5.1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khung CDCM (Context-Contingent Digital-and-Capability Model,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đưa vào như khối kiểm soát quản trị nội sinh; và lớp mở rộng năng lực số. Trong khung này, FSTS là biến độc lập chính và năng suất lao động là biến phụ thuộc.</w:t>
      </w:r>
    </w:p>
    <w:bookmarkEnd w:id="41"/>
    <w:bookmarkStart w:id="42" w:name="mô-hình-khái-niệm"/>
    <w:p>
      <w:pPr>
        <w:pStyle w:val="Heading3"/>
      </w:pPr>
      <w:r>
        <w:t xml:space="preserve">2.5.2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bởi bốn nhân tố điều tiết trọng tâm là TCI (H2), DAI (H3), chế độ thể chế ICRV (H5) và thời gian (H6), cùng với lớp mở rộng năng lực số xuyên suốt; đặc điểm nhà quản trị cấp cao ở tầng cá nhân được đưa vào như khối kiểm soát quản trị nội sinh chứ không phải một tầng điều tiết trọng tâm.</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độ cong của đường cong.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học vấn và giới tính nhà quản trị, được đưa vào như khối kiểm soát quản trị nội sinh nâng mặt bằng hiệu quả, không phải nhân tố điều tiết trọng tâm định hình độ cong của đường quan hệ I-P. Kinh nghiệm quốc tế của nhà quản trị giảm chi phí nhận thức của gánh nặng người nước ngoài; sự hiện diện của quản trị viên nữ làm tăng tính đa dạng nhận thức và sự thận trọng trong quản trị rủi ro quốc tế. Vì năng lực và sự đa dạng giới của nhà quản trị có thể đồng thời tác động đến quyết định xuất khẩu, đến năng lực công nghệ và đến năng suất, việc kiểm soát các đặc điểm này, thay vì đặt chúng làm trục điều tiết, khóa chặt thiên lệch nội sinh và bảo vệ tính nhân quả thuần khiết của tương tác Thể chế × Công nghệ.</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bookmarkEnd w:id="42"/>
    <w:bookmarkStart w:id="43" w:name="hệ-giả-thuyết-h1-h6"/>
    <w:p>
      <w:pPr>
        <w:pStyle w:val="Heading3"/>
      </w:pPr>
      <w:r>
        <w:t xml:space="preserve">2.5.3 Hệ giả thuyết H1-H6</w:t>
      </w:r>
    </w:p>
    <w:p>
      <w:pPr>
        <w:pStyle w:val="FirstParagraph"/>
      </w:pPr>
      <w:r>
        <w:t xml:space="preserve">Trên nền tảng khung CDCM, luận án phát triển sáu giả thuyết chính cùng một điều kiện biên.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37% FSTS.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(kiểm soát quản trị nội sinh: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Vì năng lực và sự đa dạng giới của nhà quản trị có thể đồng thời tác động đến quyết định xuất khẩu, đến năng lực công nghệ và đến năng suất, khung của luận án không nâng các đặc điểm này thành một trục điều tiết trọng tâm định hình độ cong của đường quan hệ I-P, mà đưa vào như nhóm biến kiểm soát quản trị nội sinh nhằm khóa chặt thiên lệch nội sinh và bảo vệ tính nhân quả thuần khiết của tương tác Thể chế × Công nghệ. Từ đó:</w:t>
      </w:r>
      <w:r>
        <w:t xml:space="preserve"> </w:t>
      </w:r>
      <w:r>
        <w:rPr>
          <w:iCs/>
          <w:i/>
        </w:rPr>
        <w:t xml:space="preserve">Kinh nghiệm quản trị và sự hiện diện của nhà quản trị nữ ở cấp cao nâng mặt bằng hiệu quả hoạt động và được đưa vào như nhóm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độ cong của đường cong I-P. Marano et al. (2016) xác nhận thể chế quốc gia nguồn là biến điều tiết quan trọng nhất, có thể chi phối đáng kể độ cong của đường cong I-P.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phân tích Singapore của luận án</w:t>
            </w:r>
          </w:p>
        </w:tc>
      </w:tr>
      <w:tr>
        <w:tc>
          <w:tcPr/>
          <w:p>
            <w:pPr>
              <w:pStyle w:val="Compact"/>
              <w:jc w:val="left"/>
            </w:pPr>
            <w:r>
              <w:t xml:space="preserve">H4 (kiểm soát quản trị nội sinh)</w:t>
            </w:r>
          </w:p>
        </w:tc>
        <w:tc>
          <w:tcPr/>
          <w:p>
            <w:pPr>
              <w:pStyle w:val="Compact"/>
              <w:jc w:val="left"/>
            </w:pPr>
            <w:r>
              <w:t xml:space="preserve">Đặc điểm nhà quản trị nâng mặt bằng (kiểm soát quản trị nội sinh, không điều tiết độ cong)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chi phối độ cong đường cong I-P</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43"/>
    <w:bookmarkStart w:id="44" w:name="X0a81e8b3240aff50264466ceb20bd9b6162dbaf"/>
    <w:p>
      <w:pPr>
        <w:pStyle w:val="Heading3"/>
      </w:pPr>
      <w:r>
        <w:t xml:space="preserve">2.5.4 Kết nối khoảng trống với chương trình kiểm định</w:t>
      </w:r>
    </w:p>
    <w:p>
      <w:pPr>
        <w:pStyle w:val="FirstParagraph"/>
      </w:pPr>
      <w:r>
        <w:t xml:space="preserve">Ba khoảng trống dẫn về một chương trình kiểm định gồm ba mảnh ghép bổ sung cho nhau. Khoảng trống thứ nhất và thứ ba cùng dẫn về câu hỏi liệu CDCM có giải thích đồng thời sự dị biệt của quan hệ I-P khi kiểm soát đầy đủ cả ba tầng trong một mô hình tích hợp, ở quy mô đủ rộng để bao phủ toàn bộ dải biến thiên ICRV hay không. Nghiên cứu phân tích đa quốc gia lấp khoảng trống này bằng dữ liệu WBES từ 45 nền kinh tế (N = 82.302-98.658 doanh nghiệp, 98 đợt quốc gia-năm), bao phủ toàn bộ dải biến thiên ICRV, kiểm định đồng thời H1-H6 với hiệu ứng cố định quốc gia-năm; điểm uốn trung bình khoảng 37% FSTS tại phân tích đa quốc gia thấp hơn so với Việt Nam (39-46%) và Trung Quốc (47-49%) cho thấy điểm uốn cấp quốc gia biến thiên theo bối cảnh thể chế, nhất quán với việc ICRV chi phối hình dạng (độ cong) của quan hệ I-P như lý thuyết dự đoán. Khoảng trống thứ ba còn đòi hỏi kiểm định một điều kiện biên cực trị, đó là liệu có tồn tại bối cảnh nơi chữ U ngược sụp đổ hoàn toàn thành quan hệ âm đơn điệu hay không; Nghiên cứu phân tích SIDS Thái Bình Dương kiểm định H1b bằng dữ liệu WBES từ các nền kinh tế đảo nhỏ Thái Bình Dương, nơi ba điều kiện cấu trúc cơ bản của chữ U ngược cùng bị vi phạm. Cùng với phân tích tổng hợp phân tích tổng hợp,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44"/>
    <w:bookmarkEnd w:id="45"/>
    <w:bookmarkStart w:id="46"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thay đổi độ cong (biên độ)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46"/>
    <w:bookmarkEnd w:id="4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2026-05-27T00:13:42Z</dcterms:created>
  <dcterms:modified xsi:type="dcterms:W3CDTF">2026-05-27T00:13:42Z</dcterms:modified>
</cp:coreProperties>
</file>

<file path=docProps/custom.xml><?xml version="1.0" encoding="utf-8"?>
<Properties xmlns="http://schemas.openxmlformats.org/officeDocument/2006/custom-properties" xmlns:vt="http://schemas.openxmlformats.org/officeDocument/2006/docPropsVTypes"/>
</file>