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an</w:t>
      </w:r>
      <w:r>
        <w:t xml:space="preserve"> </w:t>
      </w:r>
      <w:r>
        <w:rPr>
          <w:iCs/>
          <w:i/>
        </w:rPr>
        <w:t xml:space="preserve">Export Cliff Effect</w:t>
      </w:r>
      <w:r>
        <w:t xml:space="preserve">, 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a</w:t>
      </w:r>
      <w:r>
        <w:t xml:space="preserve"> </w:t>
      </w:r>
      <w:r>
        <w:rPr>
          <w:iCs/>
          <w:i/>
        </w:rPr>
        <w:t xml:space="preserve">digital saturation</w:t>
      </w:r>
      <w:r>
        <w:t xml:space="preserve"> </w:t>
      </w:r>
      <w:r>
        <w:t xml:space="preserve">in which near-universal Tier-1 presence loses discriminating power, rather than a marker of digital strategy. This is a substantive finding in its own right: basic website adoption has decayed from a candidate RBV advantage into a baseline hygiene condition.</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CaptionedFigure"/>
      </w:pPr>
      <w:r>
        <w:drawing>
          <wp:inline>
            <wp:extent cx="5753100" cy="2401293"/>
            <wp:effectExtent b="0" l="0" r="0" t="0"/>
            <wp:docPr descr="Figure 3: Moderator marginal effects,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descriptive DAI_z findings carry one central implication: baseline website presence in Vietnam should</w:t>
      </w:r>
      <w:r>
        <w:t xml:space="preserve"> </w:t>
      </w:r>
      <w:r>
        <w:t xml:space="preserve">not be read as a universal, temporally stable productivity premium, nor as evidence on dynamic digital capability. TCI_z and DAI_z 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2026-05-27T00:14:51Z</dcterms:created>
  <dcterms:modified xsi:type="dcterms:W3CDTF">2026-05-27T00:14:51Z</dcterms:modified>
</cp:coreProperties>
</file>

<file path=docProps/custom.xml><?xml version="1.0" encoding="utf-8"?>
<Properties xmlns="http://schemas.openxmlformats.org/officeDocument/2006/custom-properties" xmlns:vt="http://schemas.openxmlformats.org/officeDocument/2006/docPropsVTypes"/>
</file>