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2" w:name="abstract"/>
    <w:p>
      <w:pPr>
        <w:pStyle w:val="Heading2"/>
      </w:pPr>
      <w:r>
        <w:t xml:space="preserve">Abstract</w:t>
      </w:r>
    </w:p>
    <w:p>
      <w:pPr>
        <w:pStyle w:val="FirstParagraph"/>
      </w:pPr>
      <w:r>
        <w:rPr>
          <w:bCs/>
          <w:b/>
        </w:rPr>
        <w:t xml:space="preserve">Purpose</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2"/>
    <w:bookmarkStart w:id="23"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A parallel stream of work emphasises institutional context (Kirca et al., 2012), dynamic capabilities (Teece, 2007), and digital transformation (Nambisan, Wright and Feldman, 2019; Vial, 2019) as moderating conditions. Most studies, however, draw on multi-country samples, use aggregate export-to-sales ratios as the internationalisation measure, and capture performance at a single cross-section (Shaver, 2020). Two questions remain underexplored: whether the inverted-U shape is itself temporally stable within a given institutional context, and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that bracket a decade of structural change: 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This study contributes to the I–P literature in three ways. It provides the first within-country, two-wave test of threshold stability for China using WBES data, and it operationalises technological capability through a validated composite index (TCI_full) rather than single-item proxies. The null moderation finding then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4"/>
    <w:bookmarkStart w:id="31" w:name="theory-and-hypotheses"/>
    <w:p>
      <w:pPr>
        <w:pStyle w:val="Heading2"/>
      </w:pPr>
      <w:r>
        <w:t xml:space="preserve">2. Theory and Hypotheses</w:t>
      </w:r>
    </w:p>
    <w:bookmarkStart w:id="25" w:name="X80f1b9a6838da6506200db77e2279c8969787f1"/>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because early export exposure generates learning, scale, and diversification gains (Johanson and Vahlne, 1977; Wagner, 2007), while beyond a threshold, coordination costs and resource diversion erode net returns (Hitt et al., 1997; Pierce and Aguinis, 2013), such that the FSTS–lnLP relationship follows an inverted-U (quadratic) form before export intensity exceeds the cost-benefit inflection point.</w:t>
      </w:r>
    </w:p>
    <w:bookmarkEnd w:id="25"/>
    <w:bookmarkStart w:id="26" w:name="temporal-stability-of-the-ip-curvature"/>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w:t>
      </w:r>
      <w:r>
        <w:t xml:space="preserve"> </w:t>
      </w:r>
      <w:r>
        <w:t xml:space="preserve">“</w:t>
      </w:r>
      <w:r>
        <w:t xml:space="preserve">wave-specific</w:t>
      </w:r>
      <w:r>
        <w:t xml:space="preserve">”</w:t>
      </w:r>
      <w:r>
        <w:t xml:space="preserve"> </w:t>
      </w:r>
      <w:r>
        <w:t xml:space="preserve">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because structural shocks such as trade friction, BRI reorientation, and COVID-19 alter the cost-benefit calculus of internationalisation (Hitt et al., 1997; Xiao et al., 2013),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because the fundamental tension between learning-by-exporting gains and coordination-cost escalation is anchored to firm-level resource constraints rather than the macro environment (Bausch and Krist, 2007; Marano et al., 2016), so that the turning-point remains within a stable range regardless of the wave (structural-durability prediction).</w:t>
      </w:r>
    </w:p>
    <w:bookmarkEnd w:id="26"/>
    <w:bookmarkStart w:id="30" w:name="technological-capability-as-a-moderator"/>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because superior internal competencies reduce the coordination costs that normally truncate returns at moderate export intensity (Teece, 2007; Lall, 1992),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because capability may either extend or attenuate export-learning returns depending on the absorptive-capacity level of each firm (Lall, 1992; Avenyo et al., 2021),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because capability operates primarily as a level-shifter of productivity rather than a curvature-moderator (Avenyo et al., 2021), such that neither the turning-point location nor the slope coefficients vary systematically with TCI_full in either wave or the pooled model.</w:t>
      </w:r>
    </w:p>
    <w:p>
      <w:pPr>
        <w:pStyle w:val="CaptionedFigure"/>
      </w:pPr>
      <w:r>
        <w:drawing>
          <wp:inline>
            <wp:extent cx="5753100" cy="3764110"/>
            <wp:effectExtent b="0" l="0" r="0" t="0"/>
            <wp:docPr descr="Figure 1: Conceptual model"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ImageCaption"/>
      </w:pPr>
      <w:r>
        <w:t xml:space="preserve">Figure 1: Conceptual model</w:t>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Section 4.5.</w:t>
      </w:r>
    </w:p>
    <w:p>
      <w:r>
        <w:pict>
          <v:rect style="width:0;height:1.5pt" o:hralign="center" o:hrstd="t" o:hr="t"/>
        </w:pict>
      </w:r>
    </w:p>
    <w:bookmarkEnd w:id="30"/>
    <w:bookmarkEnd w:id="31"/>
    <w:bookmarkStart w:id="35" w:name="data-and-methods"/>
    <w:p>
      <w:pPr>
        <w:pStyle w:val="Heading2"/>
      </w:pPr>
      <w:r>
        <w:t xml:space="preserve">3. Data and Methods</w:t>
      </w:r>
    </w:p>
    <w:bookmarkStart w:id="32" w:name="data"/>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(focal-set N = 1,940 vs N = 2,619, −26%; regression-sample N = 1,934 vs 2,610, also −26%) due to a combination of: (i) WBES sampling redesign between waves; (ii) systematic exclusion of state-owned enterprises in the 2024 instrument; and (iii) potential market exit among firms surveyed in 2012. This attrition is not random in direction, WBES 2024 overshoots private manufacturing SMEs,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focal-set samples,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2"/>
    <w:bookmarkStart w:id="33" w:name="measures"/>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p>
      <w:pPr>
        <w:pStyle w:val="BodyText"/>
      </w:pPr>
      <w:r>
        <w:rPr>
          <w:bCs/>
          <w:b/>
        </w:rPr>
        <w:t xml:space="preserve">Table V1.</w:t>
      </w:r>
      <w:r>
        <w:t xml:space="preserve"> </w:t>
      </w:r>
      <w:r>
        <w:rPr>
          <w:iCs/>
          <w:i/>
        </w:rPr>
        <w:t xml:space="preserve">Variable definitions and WBES item sources, China 2012 and 2024.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ln(annual sales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e1, d2</w:t>
            </w:r>
          </w:p>
        </w:tc>
        <w:tc>
          <w:tcPr/>
          <w:p>
            <w:pPr>
              <w:pStyle w:val="Compact"/>
              <w:jc w:val="left"/>
            </w:pPr>
            <w:r>
              <w:t xml:space="preserve">e1/d2: direct-export / total sales (raw proportion [0,1])</w:t>
            </w:r>
          </w:p>
        </w:tc>
        <w:tc>
          <w:tcPr/>
          <w:p>
            <w:pPr>
              <w:pStyle w:val="Compact"/>
              <w:jc w:val="left"/>
            </w:pPr>
            <w:r>
              <w:t xml:space="preserve">Main IV — export intensity</w:t>
            </w:r>
          </w:p>
        </w:tc>
      </w:tr>
      <w:tr>
        <w:tc>
          <w:tcPr/>
          <w:p>
            <w:pPr>
              <w:pStyle w:val="Compact"/>
              <w:jc w:val="left"/>
            </w:pPr>
            <w:r>
              <w:t xml:space="preserve">FSTS²</w:t>
            </w:r>
          </w:p>
        </w:tc>
        <w:tc>
          <w:tcPr/>
          <w:p>
            <w:pPr>
              <w:pStyle w:val="Compact"/>
              <w:jc w:val="left"/>
            </w:pPr>
            <w:r>
              <w:t xml:space="preserve">e1, d2</w:t>
            </w:r>
          </w:p>
        </w:tc>
        <w:tc>
          <w:tcPr/>
          <w:p>
            <w:pPr>
              <w:pStyle w:val="Compact"/>
              <w:jc w:val="left"/>
            </w:pPr>
            <w:r>
              <w:t xml:space="preserve">FSTS × FSTS</w:t>
            </w:r>
          </w:p>
        </w:tc>
        <w:tc>
          <w:tcPr/>
          <w:p>
            <w:pPr>
              <w:pStyle w:val="Compact"/>
              <w:jc w:val="left"/>
            </w:pPr>
            <w:r>
              <w:t xml:space="preserve">Quadratic — nonlinearity</w:t>
            </w:r>
          </w:p>
        </w:tc>
      </w:tr>
      <w:tr>
        <w:tc>
          <w:tcPr/>
          <w:p>
            <w:pPr>
              <w:pStyle w:val="Compact"/>
              <w:jc w:val="left"/>
            </w:pPr>
            <w:r>
              <w:t xml:space="preserve">TCI_full</w:t>
            </w:r>
          </w:p>
        </w:tc>
        <w:tc>
          <w:tcPr/>
          <w:p>
            <w:pPr>
              <w:pStyle w:val="Compact"/>
              <w:jc w:val="left"/>
            </w:pPr>
            <w:r>
              <w:t xml:space="preserve">k8, b7, l9, l10</w:t>
            </w:r>
          </w:p>
        </w:tc>
        <w:tc>
          <w:tcPr/>
          <w:p>
            <w:pPr>
              <w:pStyle w:val="Compact"/>
              <w:jc w:val="left"/>
            </w:pPr>
            <w:r>
              <w:t xml:space="preserve">Within-wave z-std of 4-item mean (R&amp;D &gt; 0, quality cert, % university, % formally trained); min 3 of 4 non-missing</w:t>
            </w:r>
          </w:p>
        </w:tc>
        <w:tc>
          <w:tcPr/>
          <w:p>
            <w:pPr>
              <w:pStyle w:val="Compact"/>
              <w:jc w:val="left"/>
            </w:pPr>
            <w:r>
              <w:t xml:space="preserve">Technological capability composite</w:t>
            </w:r>
          </w:p>
        </w:tc>
      </w:tr>
      <w:tr>
        <w:tc>
          <w:tcPr/>
          <w:p>
            <w:pPr>
              <w:pStyle w:val="Compact"/>
              <w:jc w:val="left"/>
            </w:pPr>
            <w:r>
              <w:t xml:space="preserve">DAI_core</w:t>
            </w:r>
          </w:p>
        </w:tc>
        <w:tc>
          <w:tcPr/>
          <w:p>
            <w:pPr>
              <w:pStyle w:val="Compact"/>
              <w:jc w:val="left"/>
            </w:pPr>
            <w:r>
              <w:t xml:space="preserve">c22b</w:t>
            </w:r>
          </w:p>
        </w:tc>
        <w:tc>
          <w:tcPr/>
          <w:p>
            <w:pPr>
              <w:pStyle w:val="Compact"/>
              <w:jc w:val="left"/>
            </w:pPr>
            <w:r>
              <w:t xml:space="preserve">1 if own website; Tier-1 proxy (cross-wave identical)</w:t>
            </w:r>
          </w:p>
        </w:tc>
        <w:tc>
          <w:tcPr/>
          <w:p>
            <w:pPr>
              <w:pStyle w:val="Compact"/>
              <w:jc w:val="left"/>
            </w:pPr>
            <w:r>
              <w:t xml:space="preserve">Digital adoption baseline</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Age control</w:t>
            </w:r>
          </w:p>
        </w:tc>
      </w:tr>
      <w:tr>
        <w:tc>
          <w:tcPr/>
          <w:p>
            <w:pPr>
              <w:pStyle w:val="Compact"/>
              <w:jc w:val="left"/>
            </w:pPr>
            <w:r>
              <w:t xml:space="preserve">ForeignDummy</w:t>
            </w:r>
          </w:p>
        </w:tc>
        <w:tc>
          <w:tcPr/>
          <w:p>
            <w:pPr>
              <w:pStyle w:val="Compact"/>
              <w:jc w:val="left"/>
            </w:pPr>
            <w:r>
              <w:t xml:space="preserve">b2b</w:t>
            </w:r>
          </w:p>
        </w:tc>
        <w:tc>
          <w:tcPr/>
          <w:p>
            <w:pPr>
              <w:pStyle w:val="Compact"/>
              <w:jc w:val="left"/>
            </w:pPr>
            <w:r>
              <w:t xml:space="preserve">1 if &gt; 10 % foreign equity</w:t>
            </w:r>
          </w:p>
        </w:tc>
        <w:tc>
          <w:tcPr/>
          <w:p>
            <w:pPr>
              <w:pStyle w:val="Compact"/>
              <w:jc w:val="left"/>
            </w:pPr>
            <w:r>
              <w:t xml:space="preserve">Ownership control</w:t>
            </w:r>
          </w:p>
        </w:tc>
      </w:tr>
      <w:tr>
        <w:tc>
          <w:tcPr/>
          <w:p>
            <w:pPr>
              <w:pStyle w:val="Compact"/>
              <w:jc w:val="left"/>
            </w:pPr>
            <w:r>
              <w:t xml:space="preserve">ISIC FE</w:t>
            </w:r>
          </w:p>
        </w:tc>
        <w:tc>
          <w:tcPr/>
          <w:p>
            <w:pPr>
              <w:pStyle w:val="Compact"/>
              <w:jc w:val="left"/>
            </w:pPr>
            <w:r>
              <w:t xml:space="preserve">a4a</w:t>
            </w:r>
          </w:p>
        </w:tc>
        <w:tc>
          <w:tcPr/>
          <w:p>
            <w:pPr>
              <w:pStyle w:val="Compact"/>
              <w:jc w:val="left"/>
            </w:pPr>
            <w:r>
              <w:t xml:space="preserve">ISIC 2-digit stratum dummies</w:t>
            </w:r>
          </w:p>
        </w:tc>
        <w:tc>
          <w:tcPr/>
          <w:p>
            <w:pPr>
              <w:pStyle w:val="Compact"/>
              <w:jc w:val="left"/>
            </w:pPr>
            <w:r>
              <w:t xml:space="preserve">Sector fixed effects</w:t>
            </w:r>
          </w:p>
        </w:tc>
      </w:tr>
      <w:tr>
        <w:tc>
          <w:tcPr/>
          <w:p>
            <w:pPr>
              <w:pStyle w:val="Compact"/>
              <w:jc w:val="left"/>
            </w:pPr>
            <w:r>
              <w:t xml:space="preserve">wave</w:t>
            </w:r>
          </w:p>
        </w:tc>
        <w:tc>
          <w:tcPr/>
          <w:p>
            <w:pPr>
              <w:pStyle w:val="Compact"/>
              <w:jc w:val="left"/>
            </w:pPr>
            <w:r>
              <w:t xml:space="preserve">—</w:t>
            </w:r>
          </w:p>
        </w:tc>
        <w:tc>
          <w:tcPr/>
          <w:p>
            <w:pPr>
              <w:pStyle w:val="Compact"/>
              <w:jc w:val="left"/>
            </w:pPr>
            <w:r>
              <w:t xml:space="preserve">0 = 2012, 1 = 2024</w:t>
            </w:r>
          </w:p>
        </w:tc>
        <w:tc>
          <w:tcPr/>
          <w:p>
            <w:pPr>
              <w:pStyle w:val="Compact"/>
              <w:jc w:val="left"/>
            </w:pPr>
            <w:r>
              <w:t xml:space="preserve">Wave indicator (pooled only)</w:t>
            </w:r>
          </w:p>
        </w:tc>
      </w:tr>
    </w:tbl>
    <w:p>
      <w:pPr>
        <w:pStyle w:val="BodyText"/>
      </w:pPr>
      <w:r>
        <w:rPr>
          <w:iCs/>
          <w:i/>
        </w:rPr>
        <w:t xml:space="preserve">Note.</w:t>
      </w:r>
      <w:r>
        <w:t xml:space="preserve"> </w:t>
      </w:r>
      <w:r>
        <w:t xml:space="preserve">TCI_full uses a richer 4-item composite than TCI_z in P3/P4 (2-item: quality cert + foreign technology adoption). DAI_core = Tier-1 proxy (website binary c22b), equivalent to DAI_z in P3. FSTS is not mean-centred (unlike FSTS_c in P3/P4); the turning-point formula TP = −β₁/(2β₂) is invariant to centring.</w:t>
      </w:r>
    </w:p>
    <w:bookmarkEnd w:id="33"/>
    <w:bookmarkStart w:id="34" w:name="estimation-strategy"/>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w:t>
      </w:r>
      <w:r>
        <w:t xml:space="preserve"> </w:t>
      </w:r>
      <w:r>
        <w:t xml:space="preserve">‘</w:t>
      </w:r>
      <w:r>
        <w:t xml:space="preserve">panel core</w:t>
      </w:r>
      <w:r>
        <w:t xml:space="preserve">’</w:t>
      </w:r>
      <w:r>
        <w:t xml:space="preserv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rPr>
          <w:bCs/>
          <w:b/>
        </w:rPr>
        <w:t xml:space="preserve">M0</w:t>
      </w:r>
      <w:r>
        <w:t xml:space="preserve"> </w:t>
      </w:r>
      <w:r>
        <w:t xml:space="preserve">(baseline controls):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M1</w:t>
      </w:r>
      <w:r>
        <w:t xml:space="preserve"> </w:t>
      </w:r>
      <w:r>
        <w:t xml:space="preserve">(linear FSTS):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(quadratic FSTS, tests H1, inverted-U):</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Turning point: TP* = −β₁ / (2β₂); Lind–Mehlum (2010) criteria verified for each wave.</w:t>
      </w:r>
    </w:p>
    <w:p>
      <w:pPr>
        <w:pStyle w:val="BodyText"/>
      </w:pPr>
      <w:r>
        <w:rPr>
          <w:bCs/>
          <w:b/>
        </w:rPr>
        <w:t xml:space="preserve">M3</w:t>
      </w:r>
      <w:r>
        <w:t xml:space="preserve"> </w:t>
      </w:r>
      <w:r>
        <w:t xml:space="preserve">(TCI_full level effect, tests H3 direct):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M4</w:t>
      </w:r>
      <w:r>
        <w:t xml:space="preserve"> </w:t>
      </w:r>
      <w:r>
        <w:t xml:space="preserve">(TCI_full curvature moderation, tests H3 interaction):</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sSub>
            <m:e>
              <m:d>
                <m:dPr>
                  <m:begChr m:val="("/>
                  <m:endChr m:val=")"/>
                  <m:sepChr m:val=""/>
                  <m:grow/>
                </m:dPr>
                <m:e>
                  <m:r>
                    <m:t>F</m:t>
                  </m:r>
                  <m:r>
                    <m:t>S</m:t>
                  </m:r>
                  <m:r>
                    <m:t>T</m:t>
                  </m:r>
                  <m:r>
                    <m:t>S</m:t>
                  </m:r>
                  <m:r>
                    <m:rPr>
                      <m:sty m:val="p"/>
                    </m:rPr>
                    <m:t>×</m:t>
                  </m:r>
                  <m:r>
                    <m:t>T</m:t>
                  </m:r>
                  <m:r>
                    <m:t>C</m:t>
                  </m:r>
                  <m:r>
                    <m:t>I</m:t>
                  </m:r>
                  <m:r>
                    <m:rPr>
                      <m:sty m:val="p"/>
                    </m:rPr>
                    <m:t>_</m:t>
                  </m:r>
                  <m:r>
                    <m:t>f</m:t>
                  </m:r>
                  <m:r>
                    <m:t>u</m:t>
                  </m:r>
                  <m:r>
                    <m:t>l</m:t>
                  </m:r>
                  <m:r>
                    <m:t>l</m:t>
                  </m:r>
                </m:e>
              </m:d>
            </m:e>
            <m:sub>
              <m:r>
                <m:t>i</m:t>
              </m:r>
              <m:r>
                <m:t>t</m:t>
              </m:r>
            </m:sub>
          </m:sSub>
          <m:r>
            <m:rPr>
              <m:sty m:val="p"/>
            </m:rPr>
            <m:t>+</m:t>
          </m:r>
          <m:sSub>
            <m:e>
              <m:r>
                <m:t>β</m:t>
              </m:r>
            </m:e>
            <m:sub>
              <m:r>
                <m:t>5</m:t>
              </m:r>
            </m:sub>
          </m:sSub>
          <m:sSub>
            <m:e>
              <m:d>
                <m:dPr>
                  <m:begChr m:val="("/>
                  <m:endChr m:val=")"/>
                  <m:sepChr m:val=""/>
                  <m:grow/>
                </m:dPr>
                <m:e>
                  <m:r>
                    <m:t>F</m:t>
                  </m:r>
                  <m:r>
                    <m:t>S</m:t>
                  </m:r>
                  <m:r>
                    <m:t>T</m:t>
                  </m:r>
                  <m:sSup>
                    <m:e>
                      <m:r>
                        <m:t>S</m:t>
                      </m:r>
                    </m:e>
                    <m:sup>
                      <m:r>
                        <m:t>2</m:t>
                      </m:r>
                    </m:sup>
                  </m:sSup>
                  <m:r>
                    <m:rPr>
                      <m:sty m:val="p"/>
                    </m:rPr>
                    <m:t>×</m:t>
                  </m:r>
                  <m:r>
                    <m:t>T</m:t>
                  </m:r>
                  <m:r>
                    <m:t>C</m:t>
                  </m:r>
                  <m:r>
                    <m:t>I</m:t>
                  </m:r>
                  <m:r>
                    <m:rPr>
                      <m:sty m:val="p"/>
                    </m:rPr>
                    <m:t>_</m:t>
                  </m:r>
                  <m:r>
                    <m:t>f</m:t>
                  </m:r>
                  <m:r>
                    <m:t>u</m:t>
                  </m:r>
                  <m:r>
                    <m:t>l</m:t>
                  </m:r>
                  <m:r>
                    <m:t>l</m:t>
                  </m:r>
                </m:e>
              </m:d>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(DAI_core direct, tests H4 digital baseline):</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r>
            <m:t>D</m:t>
          </m:r>
          <m:r>
            <m:t>A</m:t>
          </m:r>
          <m:r>
            <m:t>I</m:t>
          </m:r>
          <m:r>
            <m:rPr>
              <m:sty m:val="p"/>
            </m:rPr>
            <m:t>_</m:t>
          </m:r>
          <m:r>
            <m:t>c</m:t>
          </m:r>
          <m:r>
            <m:t>o</m:t>
          </m:r>
          <m:r>
            <m:t>r</m:t>
          </m:r>
          <m:sSub>
            <m:e>
              <m:r>
                <m:t>e</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X_it = {lnEmp_it, FirmAge_it, ForeignDummy_it, ISIC sector FE}; HC1 robust SE; clustered on firm identifier (idstd) in pooled specifications.</w:t>
      </w:r>
    </w:p>
    <w:p>
      <w:pPr>
        <w:pStyle w:val="BodyText"/>
      </w:pPr>
      <w:r>
        <w:rPr>
          <w:bCs/>
          <w:b/>
        </w:rPr>
        <w:t xml:space="preserve">Selection and endogeneity.</w:t>
      </w:r>
      <w:r>
        <w:t xml:space="preserve"> </w:t>
      </w:r>
      <w:r>
        <w:t xml:space="preserve">Exporters self-select, firms with higher productivity are more likely to begin exporting (Melitz, 2003). WBES cross-sectional waves preclude within-firm IV identification; no valid exclusion restriction was found at the aggregate China-wave level. Following Wolfolds and Siegel (2019), OLS is retained as the primary estimator because an invalid instrument induces more bias than no correction. Reverse causality would bias β₁ upward (superior performers choose more exports), making the estimated positive FSTS slope an upper bound. The primary robustness against this concern is that (a) the turning-point estimate depends on the sign and magnitude of β₂, which is less susceptible to selection-direction bias than β₁, and (b) the structural stability of the inverted-U across two independent waves with distinct selection contexts (Paternoster z = +0.82, p = .412) supports the robustness of the shape estimate. Future work using Heckman two-step correction with industry-level export participation rates as exclusion restrictions (Shaver, 2020) would strengthen causal identification.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pPr>
        <w:pStyle w:val="BodyText"/>
      </w:pPr>
      <w:r>
        <w:rPr>
          <w:bCs/>
          <w:b/>
        </w:rPr>
        <w:t xml:space="preserve">M6 (Three-way moderation, capability-conditioned cross-wave shift):</w:t>
      </w:r>
    </w:p>
    <w:p>
      <w:pPr>
        <w:pStyle w:val="BodyText"/>
      </w:pPr>
      <w:r>
        <w:t xml:space="preserve">$$\ln LP_{it} = \alpha + \b\beta_1 FSTS_{it} + \b\beta_2 FSTS^2_{it} + \b\beta_3 TCI_{it} + \b\beta_4 \text{wave}_t$$</w:t>
      </w:r>
    </w:p>
    <w:p>
      <w:pPr>
        <w:pStyle w:val="FirstParagraph"/>
      </w:pPr>
      <w:r>
        <w:t xml:space="preserve">$$+ \b\beta_5 (FSTS \times TCI)_{it} + \b\beta_6 (FSTS^2 \times TCI)_{it}$$</w:t>
      </w:r>
    </w:p>
    <w:p>
      <w:pPr>
        <w:pStyle w:val="FirstParagraph"/>
      </w:pPr>
      <w:r>
        <w:t xml:space="preserve">$$+ \b\beta_7 (FSTS \times \text{wave})_{it} + \b\beta_8 (FSTS^2 \times \text{wave})_{it}$$</w:t>
      </w:r>
    </w:p>
    <w:p>
      <w:pPr>
        <w:pStyle w:val="FirstParagraph"/>
      </w:pPr>
      <w:r>
        <w:t xml:space="preserve">$$+ \b\beta_9 (FSTS \times TCI \times \text{wave})_{it} + \beta_{10} (FSTS^2 \times TCI \times \text{wave})_{it}$$</w:t>
      </w:r>
    </w:p>
    <w:p>
      <w:pPr>
        <w:pStyle w:val="FirstParagraph"/>
      </w:pPr>
      <w:r>
        <w:t xml:space="preserve">$$+ \gamma \cdot X_{it} + \v\varepsilon_{it}$$</w:t>
      </w:r>
    </w:p>
    <w:p>
      <w:pPr>
        <w:pStyle w:val="FirstParagraph"/>
      </w:pPr>
      <w:r>
        <w:t xml:space="preserve">where wave_t ∈ {0 = 2012, 1 = 2024}; X_it = {lnEmp, FirmAge, ForeignDummy, ISIC sector FE}; clustered HC1 SE on firm identifier (idstd).</w:t>
      </w:r>
    </w:p>
    <w:p>
      <w:pPr>
        <w:pStyle w:val="BodyText"/>
      </w:pPr>
      <w:r>
        <w:t xml:space="preserve">Three joint F-tests map onto H2a/H2b, H3, and H4a/H4b:</w:t>
      </w:r>
      <w:r>
        <w:t xml:space="preserve"> </w:t>
      </w:r>
      <w:r>
        <w:t xml:space="preserve">-</w:t>
      </w:r>
      <w:r>
        <w:t xml:space="preserve"> </w:t>
      </w:r>
      <w:r>
        <w:rPr>
          <w:bCs/>
          <w:b/>
        </w:rPr>
        <w:t xml:space="preserve">F1</w:t>
      </w:r>
      <w:r>
        <w:t xml:space="preserve"> </w:t>
      </w:r>
      <w:r>
        <w:t xml:space="preserve">(cross-wave curvature shift): H₀: β₇ = β₈ = 0 [H2b null, turning point stable across waves]</w:t>
      </w:r>
      <w:r>
        <w:t xml:space="preserve"> </w:t>
      </w:r>
      <w:r>
        <w:t xml:space="preserve">-</w:t>
      </w:r>
      <w:r>
        <w:t xml:space="preserve"> </w:t>
      </w:r>
      <w:r>
        <w:rPr>
          <w:bCs/>
          <w:b/>
        </w:rPr>
        <w:t xml:space="preserve">F2</w:t>
      </w:r>
      <w:r>
        <w:t xml:space="preserve"> </w:t>
      </w:r>
      <w:r>
        <w:t xml:space="preserve">(within-wave capability moderation): H₀: β₅ = β₆ = 0 [H3 null, TCI does not moderate I–P curve shape]</w:t>
      </w:r>
      <w:r>
        <w:t xml:space="preserve"> </w:t>
      </w:r>
      <w:r>
        <w:t xml:space="preserve">-</w:t>
      </w:r>
      <w:r>
        <w:t xml:space="preserve"> </w:t>
      </w:r>
      <w:r>
        <w:rPr>
          <w:bCs/>
          <w:b/>
        </w:rPr>
        <w:t xml:space="preserve">F3</w:t>
      </w:r>
      <w:r>
        <w:t xml:space="preserve"> </w:t>
      </w:r>
      <w:r>
        <w:t xml:space="preserve">(capability-conditioned cross-wave shift): H₀: β₉ = β₁₀ = 0 [H4b null, TCI × wave shift is zero]</w:t>
      </w:r>
    </w:p>
    <w:p>
      <w:pPr>
        <w:pStyle w:val="BodyText"/>
      </w:pPr>
      <w:r>
        <w:t xml:space="preserve">Results: F1 = 2.24, p = .107 (NOT rejected); F2 = 3.26, p = .039 (marginal; does not survive Bonferroni α* = .017); F3 = 0.27, p = .760 (NOT rejected). Consistent with H2b (structural durability) and H4b (null capability-curvature moderation).</w:t>
      </w:r>
    </w:p>
    <w:p>
      <w:r>
        <w:pict>
          <v:rect style="width:0;height:1.5pt" o:hralign="center" o:hrstd="t" o:hr="t"/>
        </w:pict>
      </w:r>
    </w:p>
    <w:bookmarkEnd w:id="34"/>
    <w:bookmarkEnd w:id="35"/>
    <w:bookmarkStart w:id="51" w:name="results"/>
    <w:p>
      <w:pPr>
        <w:pStyle w:val="Heading2"/>
      </w:pPr>
      <w:r>
        <w:t xml:space="preserve">4. Results</w:t>
      </w:r>
    </w:p>
    <w:bookmarkStart w:id="36" w:name="descriptive-statistics"/>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6"/>
    <w:bookmarkStart w:id="40" w:name="main-threshold-results"/>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consistent with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(β₁ shift: z = +0.82, p = .412) and FSTS² (β₂ shift: z = −0.61, p = .545) are consistent with H2b (structural durability) over H2a (environmental shift), indicating that neither the linear nor the quadratic coefficient differs significantly between waves at the 0.05 level.</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 Approximate 95% CIs for cross-wave coefficient differences (Δβ ± 1.96 × |Δβ|/|z|, using rounded table values as proxy): FSTS Δβ₁ ≈ +0.09, 95% CI ≈ [−0.13, +0.31]; FSTS² Δβ₂ ≈ −0.05, 95% CI ≈ [−0.21, +0.11]. Both CIs include zero, consistent with non-rejection at α = .05. Exact Δβ and SE values available in replication materials.</w:t>
      </w:r>
    </w:p>
    <w:p>
      <w:pPr>
        <w:pStyle w:val="CaptionedFigure"/>
      </w:pPr>
      <w:r>
        <w:drawing>
          <wp:inline>
            <wp:extent cx="5753100" cy="3010157"/>
            <wp:effectExtent b="0" l="0" r="0" t="0"/>
            <wp:docPr descr="Figure 2: Turning-point estimates with 95% CIs by wave (China)"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Figure 2: Turning-point estimates with 95% CIs by wave (China)</w:t>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40"/>
    <w:bookmarkStart w:id="44" w:name="predicted-ip-curves"/>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CaptionedFigure"/>
      </w:pPr>
      <w:r>
        <w:drawing>
          <wp:inline>
            <wp:extent cx="5753100" cy="3330862"/>
            <wp:effectExtent b="0" l="0" r="0" t="0"/>
            <wp:docPr descr="Figure 3: Predicted I–P curves by wave (China)"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Figure 3: Predicted I–P curves by wave (China)</w:t>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4"/>
    <w:bookmarkStart w:id="48" w:name="capability-moderation"/>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are more consistent with H4b (null capability-curvature moderation) than with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CaptionedFigure"/>
      </w:pPr>
      <w:r>
        <w:drawing>
          <wp:inline>
            <wp:extent cx="5753100" cy="2591800"/>
            <wp:effectExtent b="0" l="0" r="0" t="0"/>
            <wp:docPr descr="Figure 4: TCI and DAI direct-effect coefficients by wave (China, standardised OLS)"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Figure 4: TCI and DAI direct-effect coefficients by wave (China, standardised OLS)</w:t>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show positive and significant associations in both waves.</w:t>
      </w:r>
    </w:p>
    <w:bookmarkEnd w:id="48"/>
    <w:bookmarkStart w:id="49" w:name="mechanism-analysis-digital-adoption"/>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TCI_full-to-lnLP relationship via a sequential mediation path (TCI_full to DAI_core to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w:t>
      </w:r>
      <w:r>
        <w:t xml:space="preserve"> </w:t>
      </w:r>
      <w:r>
        <w:t xml:space="preserve">“</w:t>
      </w:r>
      <w:r>
        <w:t xml:space="preserve">descriptive mechanism sketch</w:t>
      </w:r>
      <w:r>
        <w:t xml:space="preserve">”</w:t>
      </w:r>
      <w:r>
        <w:t xml:space="preserve"> </w:t>
      </w:r>
      <w:r>
        <w:t xml:space="preserve">rather than a causal identification claim (Antonakis et al., 2010; Shaver, 2020).</w:t>
      </w:r>
    </w:p>
    <w:bookmarkEnd w:id="49"/>
    <w:bookmarkStart w:id="50" w:name="robustness-checks"/>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50"/>
    <w:bookmarkEnd w:id="51"/>
    <w:bookmarkStart w:id="57" w:name="discussion"/>
    <w:p>
      <w:pPr>
        <w:pStyle w:val="Heading2"/>
      </w:pPr>
      <w:r>
        <w:t xml:space="preserve">5. Discussion</w:t>
      </w:r>
    </w:p>
    <w:bookmarkStart w:id="52" w:name="temporal-stability-of-the-ip-threshold"/>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 including BRI reorientation, trade friction, and the COVID-19 shock, and it challenges the environmental-determinism reading of I–P curvature (H2a). The result is consistent with the meta-analytic evidence of Bausch and Krist (2007) and the institutional-moderator synthesis of Marano et al. (2016), which together suggest that inverted-U curvature is a robust cross-context regularity rather than a sample-specific artifact.</w:t>
      </w:r>
    </w:p>
    <w:p>
      <w:pPr>
        <w:pStyle w:val="BodyText"/>
      </w:pPr>
      <w:r>
        <w:t xml:space="preserve">For Chinese private firms, the threshold around 48 % export intensity operates as a</w:t>
      </w:r>
      <w:r>
        <w:t xml:space="preserve"> </w:t>
      </w:r>
      <w:r>
        <w:rPr>
          <w:iCs/>
          <w:i/>
        </w:rPr>
        <w:t xml:space="preserve">survival constant</w:t>
      </w:r>
      <w:r>
        <w:t xml:space="preserve">, reflecting a structural tension between learning-by-exporting gains (active below threshold) and coordination cost escalation (active above threshold) that is not mediated by a decade of policy and macroeconomic change. The mechanism underlying this durability is</w:t>
      </w:r>
      <w:r>
        <w:t xml:space="preserve"> </w:t>
      </w:r>
      <w:r>
        <w:rPr>
          <w:iCs/>
          <w:i/>
        </w:rPr>
        <w:t xml:space="preserve">structural over-embeddedness</w:t>
      </w:r>
      <w:r>
        <w:t xml:space="preserve"> </w:t>
      </w:r>
      <w:r>
        <w:t xml:space="preserve">combined with</w:t>
      </w:r>
      <w:r>
        <w:t xml:space="preserve"> </w:t>
      </w:r>
      <w:r>
        <w:rPr>
          <w:iCs/>
          <w:i/>
        </w:rPr>
        <w:t xml:space="preserve">working-capital constraints</w:t>
      </w:r>
      <w:r>
        <w:t xml:space="preserve">: beyond the threshold, firms become over-dependent on international customers and value chains and face severe working-capital pressure from cross-border payment terms (extended receivables, international logistics costs, currency risk, Manova, 2013), so productivity erodes regardless of the macro environment. The implication for managers is that allocating more than roughly half of sales to direct exports tends to erode productivity regardless of decade or external environment.</w:t>
      </w:r>
    </w:p>
    <w:bookmarkEnd w:id="52"/>
    <w:bookmarkStart w:id="53" w:name="X433fb1e034c39d563b08fc3391a6162a4e2331e"/>
    <w:p>
      <w:pPr>
        <w:pStyle w:val="Heading3"/>
      </w:pPr>
      <w:r>
        <w:t xml:space="preserve">5.2 Technological Capability as Level-Shifter</w:t>
      </w:r>
    </w:p>
    <w:p>
      <w:pPr>
        <w:pStyle w:val="FirstParagraph"/>
      </w:pPr>
      <w:r>
        <w:t xml:space="preserve">The null moderation finding (F2 = 3.26, p = .039, which does not survive Bonferroni correction at α* = .017, and is consistent with H4b) has a precise interpretation. TCI_full raises the productivity intercept in both waves (β_z = +0.28 in 2012, +0.43 in 2024) but does not shift the turning-point location or change the curvature. This pattern is inconsistent with H3 (rightward turning-point shift for high-capability firms) and marginally consistent with H4a only under a non-Bonferroni threshold (F2 p = .039). The finding recasts the role of technological capability from a curvature-moderator to a</w:t>
      </w:r>
      <w:r>
        <w:t xml:space="preserve"> </w:t>
      </w:r>
      <w:r>
        <w:t xml:space="preserve">“</w:t>
      </w:r>
      <w:r>
        <w:t xml:space="preserve">level-shifter</w:t>
      </w:r>
      <w:r>
        <w:t xml:space="preserve">”</w:t>
      </w:r>
      <w:r>
        <w:t xml:space="preserve">: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3"/>
    <w:bookmarkStart w:id="54" w:name="digital-adoption-as-baseline-control"/>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(Section 4.5) suggests a partial mediation pathway (TCI to DAI to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4"/>
    <w:bookmarkStart w:id="55" w:name="limitations"/>
    <w:p>
      <w:pPr>
        <w:pStyle w:val="Heading3"/>
      </w:pPr>
      <w:r>
        <w:t xml:space="preserve">5.4 Limitations</w:t>
      </w:r>
    </w:p>
    <w:p>
      <w:pPr>
        <w:pStyle w:val="FirstParagraph"/>
      </w:pPr>
      <w:r>
        <w:t xml:space="preserve">Four inferential bounds apply.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Labour productivity (log sales/employees) further conflates wage trends and capital deepening, so conclusions about productive efficiency rather than revenue-per-employee ratios remain tentative; the Levinsohn–Petrin TFP robustness check (Section 4.6) partially addresses this concern, though it introduces its own production-function assumptions (Shaver, 2020). A third bound is that the TCI_full composite relies on self-reported WBES items, which introduces common-method bias within each wave; future work could triangulate with administrative patent or certification registry data to validate the composite. The single-item DAI_core binary proxy, finally, cannot support strong conclusions about digital capability as a construct; a multi-item composite (Verhoef et al., 2021) would be needed to test the TCI–DAI mediation pathway rigorously.</w:t>
      </w:r>
    </w:p>
    <w:bookmarkEnd w:id="55"/>
    <w:bookmarkStart w:id="56" w:name="future-research"/>
    <w:p>
      <w:pPr>
        <w:pStyle w:val="Heading3"/>
      </w:pPr>
      <w:r>
        <w:t xml:space="preserve">5.5 Future Research</w:t>
      </w:r>
    </w:p>
    <w:p>
      <w:pPr>
        <w:pStyle w:val="FirstParagraph"/>
      </w:pPr>
      <w:r>
        <w:t xml:space="preserve">Several directions emerge from this study. Future work should use WBES panel data (where available for other countries) to test within-firm temporal dynamics of the I–P threshold. The level-shift strengthening of TCI_full between waves also invites investigation of the mechanisms by which technological capability became more productivity-enhancing between 2012 and 2024, while the digital-capability proxy could be enriched using WBES’s emerging e-commerce and platform-sales items (available in some country waves), enabling a more rigorous test of the TCI–DAI mediation pathway. Readers should note that a companion analysis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6"/>
    <w:bookmarkEnd w:id="57"/>
    <w:bookmarkStart w:id="58" w:name="conclusion"/>
    <w:p>
      <w:pPr>
        <w:pStyle w:val="Heading2"/>
      </w:pPr>
      <w:r>
        <w:t xml:space="preserve">6. Conclusion</w:t>
      </w:r>
    </w:p>
    <w:p>
      <w:pPr>
        <w:pStyle w:val="FirstParagraph"/>
      </w:pPr>
      <w:r>
        <w:t xml:space="preserve">This study asked whether the inverted-U I–P relationship in Chinese private firms is structurally durable or wave-specific, and whether technological capability moderates the curvature. Using WBES microdata for China (2012 and 2024), we find that the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58"/>
    <w:bookmarkStart w:id="59" w:name="acknowledgements"/>
    <w:p>
      <w:pPr>
        <w:pStyle w:val="Heading2"/>
      </w:pPr>
      <w:r>
        <w:t xml:space="preserve">Acknowledgements</w:t>
      </w:r>
    </w:p>
    <w:p>
      <w:pPr>
        <w:pStyle w:val="FirstParagraph"/>
      </w:pPr>
      <w:r>
        <w:t xml:space="preserve">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59"/>
    <w:bookmarkStart w:id="60"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 https://www.enterprisesurveys.org. Variable construction code and processed datasets are available from the corresponding author upon reasonable request.</w:t>
      </w:r>
    </w:p>
    <w:bookmarkEnd w:id="60"/>
    <w:bookmarkStart w:id="61"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References</w:t>
            </w:r>
          </w:p>
        </w:tc>
      </w:tr>
      <w:tr>
        <w:tc>
          <w:tcPr/>
          <w:p>
            <w:pPr>
              <w:pStyle w:val="Compact"/>
              <w:jc w:val="lef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tc>
      </w:tr>
      <w:tr>
        <w:tc>
          <w:tcPr/>
          <w:p>
            <w:pPr>
              <w:pStyle w:val="Compact"/>
              <w:jc w:val="lef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tc>
      </w:tr>
      <w:tr>
        <w:tc>
          <w:tcPr/>
          <w:p>
            <w:pPr>
              <w:pStyle w:val="Compact"/>
              <w:jc w:val="lef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 https://doi.org/10.1007/s11575-007-0022-4</w:t>
            </w:r>
          </w:p>
        </w:tc>
      </w:tr>
      <w:tr>
        <w:tc>
          <w:tcPr/>
          <w:p>
            <w:pPr>
              <w:pStyle w:val="Compact"/>
              <w:jc w:val="lef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[DOI pending; add upon assignment]</w:t>
            </w:r>
          </w:p>
        </w:tc>
      </w:tr>
      <w:tr>
        <w:tc>
          <w:tcPr/>
          <w:p>
            <w:pPr>
              <w:pStyle w:val="Compact"/>
              <w:jc w:val="lef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tc>
      </w:tr>
      <w:tr>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tc>
      </w:tr>
      <w:tr>
        <w:tc>
          <w:tcPr/>
          <w:p>
            <w:pPr>
              <w:pStyle w:val="Compact"/>
              <w:jc w:val="lef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tc>
      </w:tr>
      <w:tr>
        <w:tc>
          <w:tcPr/>
          <w:p>
            <w:pPr>
              <w:pStyle w:val="Compact"/>
              <w:jc w:val="lef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tc>
      </w:tr>
      <w:tr>
        <w:tc>
          <w:tcPr/>
          <w:p>
            <w:pPr>
              <w:pStyle w:val="Compact"/>
              <w:jc w:val="left"/>
            </w:pPr>
            <w:r>
              <w:t xml:space="preserve">Lall, S. (1992). Technological capabilities and industrialization.</w:t>
            </w:r>
            <w:r>
              <w:t xml:space="preserve"> </w:t>
            </w:r>
            <w:r>
              <w:rPr>
                <w:iCs/>
                <w:i/>
              </w:rPr>
              <w:t xml:space="preserve">World Development, 20</w:t>
            </w:r>
            <w:r>
              <w:t xml:space="preserve">(2), 165–186. https://doi.org/10.1016/0305-750X(92)90097-F</w:t>
            </w:r>
          </w:p>
        </w:tc>
      </w:tr>
      <w:tr>
        <w:tc>
          <w:tcPr/>
          <w:p>
            <w:pPr>
              <w:pStyle w:val="Compact"/>
              <w:jc w:val="lef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tc>
      </w:tr>
      <w:tr>
        <w:tc>
          <w:tcPr/>
          <w:p>
            <w:pPr>
              <w:pStyle w:val="Compact"/>
              <w:jc w:val="lef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tc>
      </w:tr>
      <w:tr>
        <w:tc>
          <w:tcPr/>
          <w:p>
            <w:pPr>
              <w:pStyle w:val="Compact"/>
              <w:jc w:val="lef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tc>
      </w:tr>
      <w:tr>
        <w:tc>
          <w:tcPr/>
          <w:p>
            <w:pPr>
              <w:pStyle w:val="Compact"/>
              <w:jc w:val="lef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tc>
      </w:tr>
      <w:tr>
        <w:tc>
          <w:tcPr/>
          <w:p>
            <w:pPr>
              <w:pStyle w:val="Compact"/>
              <w:jc w:val="lef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tc>
      </w:tr>
      <w:tr>
        <w:tc>
          <w:tcPr/>
          <w:p>
            <w:pPr>
              <w:pStyle w:val="Compact"/>
              <w:jc w:val="lef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tc>
      </w:tr>
      <w:tr>
        <w:tc>
          <w:tcPr/>
          <w:p>
            <w:pPr>
              <w:pStyle w:val="Compact"/>
              <w:jc w:val="lef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tc>
      </w:tr>
      <w:tr>
        <w:tc>
          <w:tcPr/>
          <w:p>
            <w:pPr>
              <w:pStyle w:val="Compact"/>
              <w:jc w:val="lef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tc>
      </w:tr>
      <w:tr>
        <w:tc>
          <w:tcPr/>
          <w:p>
            <w:pPr>
              <w:pStyle w:val="Compact"/>
              <w:jc w:val="lef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tc>
      </w:tr>
      <w:tr>
        <w:tc>
          <w:tcPr/>
          <w:p>
            <w:pPr>
              <w:pStyle w:val="Compact"/>
              <w:jc w:val="lef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tc>
      </w:tr>
      <w:tr>
        <w:tc>
          <w:tcPr/>
          <w:p>
            <w:pPr>
              <w:pStyle w:val="Compact"/>
              <w:jc w:val="lef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tc>
      </w:tr>
      <w:tr>
        <w:tc>
          <w:tcPr/>
          <w:p>
            <w:pPr>
              <w:pStyle w:val="Compact"/>
              <w:jc w:val="lef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tc>
      </w:tr>
      <w:tr>
        <w:tc>
          <w:tcPr/>
          <w:p>
            <w:pPr>
              <w:pStyle w:val="Compact"/>
              <w:jc w:val="lef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tc>
      </w:tr>
      <w:tr>
        <w:tc>
          <w:tcPr/>
          <w:p>
            <w:pPr>
              <w:pStyle w:val="Compact"/>
              <w:jc w:val="lef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tc>
      </w:tr>
      <w:tr>
        <w:tc>
          <w:tcPr/>
          <w:p>
            <w:pPr>
              <w:pStyle w:val="Compact"/>
              <w:jc w:val="lef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tc>
      </w:tr>
      <w:tr>
        <w:tc>
          <w:tcPr/>
          <w:p>
            <w:pPr>
              <w:pStyle w:val="Compact"/>
              <w:jc w:val="lef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tc>
      </w:tr>
      <w:tr>
        <w:tc>
          <w:tcPr/>
          <w:p>
            <w:pPr>
              <w:pStyle w:val="Compact"/>
              <w:jc w:val="lef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tc>
      </w:tr>
      <w:tr>
        <w:tc>
          <w:tcPr/>
          <w:p>
            <w:pPr>
              <w:pStyle w:val="Compact"/>
              <w:jc w:val="lef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tc>
      </w:tr>
      <w:tr>
        <w:tc>
          <w:tcPr/>
          <w:p>
            <w:pPr>
              <w:pStyle w:val="Compact"/>
              <w:jc w:val="lef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tc>
      </w:tr>
      <w:tr>
        <w:tc>
          <w:tcPr/>
          <w:p>
            <w:pPr>
              <w:pStyle w:val="Compact"/>
              <w:jc w:val="lef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tc>
      </w:tr>
    </w:tbl>
    <w:p>
      <w:pPr>
        <w:pStyle w:val="BodyText"/>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61"/>
    <w:bookmarkEnd w:id="6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2026-05-27T00:15:12Z</dcterms:created>
  <dcterms:modified xsi:type="dcterms:W3CDTF">2026-05-27T00:15:12Z</dcterms:modified>
</cp:coreProperties>
</file>

<file path=docProps/custom.xml><?xml version="1.0" encoding="utf-8"?>
<Properties xmlns="http://schemas.openxmlformats.org/officeDocument/2006/custom-properties" xmlns:vt="http://schemas.openxmlformats.org/officeDocument/2006/docPropsVTypes"/>
</file>