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pairwise differences reflect single-country vs. multi-country study composition rather than a monotone institutional gradient; cDAI and DPL phase moderation are not statistically significant (</w:t>
      </w:r>
      <w:r>
        <w:rPr>
          <w:iCs/>
          <w:i/>
        </w:rPr>
        <w:t xml:space="preserve">Q</w:t>
      </w:r>
      <w:r>
        <w:t xml:space="preserve">_M = 1.23,</w:t>
      </w:r>
      <w:r>
        <w:t xml:space="preserve"> </w:t>
      </w:r>
      <w:r>
        <w:rPr>
          <w:iCs/>
          <w:i/>
        </w:rPr>
        <w:t xml:space="preserve">p</w:t>
      </w:r>
      <w:r>
        <w:t xml:space="preserve"> </w:t>
      </w:r>
      <w:r>
        <w:t xml:space="preserve">= .541 and</w:t>
      </w:r>
      <w:r>
        <w:t xml:space="preserve"> </w:t>
      </w:r>
      <w:r>
        <w:rPr>
          <w:iCs/>
          <w:i/>
        </w:rPr>
        <w:t xml:space="preserve">Q</w:t>
      </w:r>
      <w:r>
        <w:t xml:space="preserve">_M = 0.56,</w:t>
      </w:r>
      <w:r>
        <w:t xml:space="preserve"> </w:t>
      </w:r>
      <w:r>
        <w:rPr>
          <w:iCs/>
          <w:i/>
        </w:rPr>
        <w:t xml:space="preserve">p</w:t>
      </w:r>
      <w:r>
        <w:t xml:space="preserve"> </w:t>
      </w:r>
      <w:r>
        <w:t xml:space="preserve">= .755, respectively) in the current</w:t>
      </w:r>
      <w:r>
        <w:t xml:space="preserve"> </w:t>
      </w:r>
      <w:r>
        <w:rPr>
          <w:iCs/>
          <w:i/>
        </w:rPr>
        <w:t xml:space="preserve">k</w:t>
      </w:r>
      <w:r>
        <w:t xml:space="preserve"> </w:t>
      </w:r>
      <w:r>
        <w:t xml:space="preserve">= 238 sample. The headline result is substantial publication bias: trim-and-fill imputes</w:t>
      </w:r>
      <w:r>
        <w:t xml:space="preserve"> </w:t>
      </w:r>
      <w:r>
        <w:rPr>
          <w:iCs/>
          <w:i/>
        </w:rPr>
        <w:t xml:space="preserve">k</w:t>
      </w:r>
      <w:r>
        <w:t xml:space="preserve"> </w:t>
      </w:r>
      <w:r>
        <w:t xml:space="preserve">= 58 missing studies, cutting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(95% CI [0.023, 0.048]), an implied ~53% attenuation indicating that four decades of I-P evidence may be materially publication-bias-inflated (a bias-correction estimate; Begg</w:t>
      </w:r>
      <w:r>
        <w:t xml:space="preserve"> </w:t>
      </w:r>
      <w:r>
        <w:rPr>
          <w:iCs/>
          <w:i/>
        </w:rPr>
        <w:t xml:space="preserve">p</w:t>
      </w:r>
      <w:r>
        <w:t xml:space="preserve"> </w:t>
      </w:r>
      <w:r>
        <w:t xml:space="preserve">&lt; .001 significant, Egger</w:t>
      </w:r>
      <w:r>
        <w:t xml:space="preserve"> </w:t>
      </w:r>
      <w:r>
        <w:rPr>
          <w:iCs/>
          <w:i/>
        </w:rPr>
        <w:t xml:space="preserve">p</w:t>
      </w:r>
      <w:r>
        <w:t xml:space="preserve"> </w:t>
      </w:r>
      <w:r>
        <w:t xml:space="preserve">= .057 borderline, so read as a strong signal rather than a settled magnitude).</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238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not a universal mechanism,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country of origin, industry, performance measure type, leave approximately 70% of variance unexplained.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taxonomy. The global study corpus spans the full institutional spectrum, from Singapore (World Governance Indicators Rule of Law score +1.84) to frontier economies such as Pakistan (WGI −0.55) and Iran (WGI −0.74; World Bank, 2023). An ICRV 6-regime classification (Regimes I–VI, where Regime VI is the Pacific SIDS boundary case) capable of resolving this heterogeneity has not been tested meta-analytically on a globally representative I-P corpus.</w:t>
      </w:r>
    </w:p>
    <w:p>
      <w:pPr>
        <w:pStyle w:val="BodyText"/>
      </w:pPr>
      <w:r>
        <w:rPr>
          <w:bCs/>
          <w:b/>
        </w:rPr>
        <w:t xml:space="preserve">Gap 3,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6-regime framework applied to a globally representative I-P corpus (</w:t>
      </w:r>
      <w:r>
        <w:rPr>
          <w:iCs/>
          <w:i/>
        </w:rPr>
        <w:t xml:space="preserve">k</w:t>
      </w:r>
      <w:r>
        <w:t xml:space="preserve"> </w:t>
      </w:r>
      <w:r>
        <w:t xml:space="preserve">= 238, 49 economies; five of the six regimes are populated, the Pacific-SIDS Regime VI returning no qualifying studies);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 Interpreted together, the null country-level digital (cDAI) and temporal (DPL) moderators motivate a</w:t>
      </w:r>
      <w:r>
        <w:t xml:space="preserve"> </w:t>
      </w:r>
      <w:r>
        <w:rPr>
          <w:iCs/>
          <w:i/>
        </w:rPr>
        <w:t xml:space="preserve">Capability–Context Mismatch</w:t>
      </w:r>
      <w:r>
        <w:t xml:space="preserve"> </w:t>
      </w:r>
      <w:r>
        <w:t xml:space="preserve">account: a macro digital context is inert for the I-P relationship unless it is matched by firm-level (micro) digital capability, the macro environment cannot substitute for the absence of the firm-level capability that actually converts it.</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pairwise differences reflect single-country vs. multi-country study composition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headline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an implied ~53% attenuation. Read as a corrective contribution to the field, this indicates that four decades of I-P evidence may be materially inflated by publication selection. The inference is a bias-correction estimate corroborated by a significant Begg test (τ = −0.134,</w:t>
      </w:r>
      <w:r>
        <w:t xml:space="preserve"> </w:t>
      </w:r>
      <w:r>
        <w:rPr>
          <w:iCs/>
          <w:i/>
        </w:rPr>
        <w:t xml:space="preserve">p</w:t>
      </w:r>
      <w:r>
        <w:t xml:space="preserve"> </w:t>
      </w:r>
      <w:r>
        <w:t xml:space="preserve">&lt; .001); because Egger’s regression is only borderline (</w:t>
      </w:r>
      <w:r>
        <w:rPr>
          <w:iCs/>
          <w:i/>
        </w:rPr>
        <w:t xml:space="preserve">p</w:t>
      </w:r>
      <w:r>
        <w:t xml:space="preserve"> </w:t>
      </w:r>
      <w:r>
        <w:t xml:space="preserve">= .057), we frame the ~53% as a strong directional signal rather than a settled point magnitude. The heterogeneity puzzle (</w:t>
      </w:r>
      <w:r>
        <w:rPr>
          <w:iCs/>
          <w:i/>
        </w:rPr>
        <w:t xml:space="preserve">I</w:t>
      </w:r>
      <w:r>
        <w:t xml:space="preserve">² =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including human capital, technological capability, and digital infrastructure access,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that govern transaction costs. In the I-P context, higher institutional quality, measured through rule of law, contract enforcement, IP protection, and regulatory quality,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real-time digital communication across time zones reduces the bandwidth cost of coordinating dispersed operations; (b)</w:t>
      </w:r>
      <w:r>
        <w:t xml:space="preserve"> </w:t>
      </w:r>
      <w:r>
        <w:rPr>
          <w:iCs/>
          <w:i/>
        </w:rPr>
        <w:t xml:space="preserve">transaction cost reduction</w:t>
      </w:r>
      <w:r>
        <w:t xml:space="preserve">, electronic payment systems and digital contracting reduce the cost and time of cross-border transactions; (c)</w:t>
      </w:r>
      <w:r>
        <w:t xml:space="preserve"> </w:t>
      </w:r>
      <w:r>
        <w:rPr>
          <w:iCs/>
          <w:i/>
        </w:rPr>
        <w:t xml:space="preserve">information asymmetry compression</w:t>
      </w:r>
      <w:r>
        <w:t xml:space="preserve">, digital analytics platforms reduce the monitoring cost of verifying foreign partner performance. When national digital infrastructure is mature (high cDAI), all three channels operate simultaneously, predicting that the coordination cost mechanism, which generates the right-side decline of the inverted-U,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the layers most widely measured in firm-level surveys,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a between-study moderation claim, not a within-study mediation claim.</w:t>
      </w:r>
    </w:p>
    <w:bookmarkEnd w:id="22"/>
    <w:bookmarkStart w:id="23" w:name="X772aae5f967000260143b5df2cce415e62452ba"/>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the costs incurred by foreign firms that domestic rivals do not bear,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environments where formal institutions are weak or absent,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6-regime taxonomy, anchored in World Bank World Governance Indicators (Rule of Law dimension, 2023 vintage) and applied to the full k = 238 global study corpus,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ICRV between-regime heterogeneity):</w:t>
      </w:r>
      <w:r>
        <w:t xml:space="preserve"> </w:t>
      </w:r>
      <w:r>
        <w:t xml:space="preserve">Pooled I-P effect sizes vary systematically across ICRV institutional regimes, with Advanced-regime studies expected to show the largest average effects, because formal institutions, contract enforcement, IP protection, and reduced liability of foreignness,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potentially null or negative,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digital-paradox-lifecycle-dpl-new-hm2"/>
    <w:p>
      <w:pPr>
        <w:pStyle w:val="Heading3"/>
      </w:pPr>
      <w:r>
        <w:t xml:space="preserve">2.3 Digital Paradox Lifecycle (DPL,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in organizational practices, worker skills, and infrastructure,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r>
        <w:t xml:space="preserve"> </w:t>
      </w:r>
      <w:r>
        <w:t xml:space="preserve">-</w:t>
      </w:r>
      <w:r>
        <w:t xml:space="preserve"> </w:t>
      </w: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r>
        <w:t xml:space="preserve"> </w:t>
      </w:r>
      <w:r>
        <w:t xml:space="preserve">-</w:t>
      </w:r>
      <w:r>
        <w:t xml:space="preserve"> </w:t>
      </w: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r>
        <w:t xml:space="preserve"> </w:t>
      </w:r>
      <w:r>
        <w:t xml:space="preserve">-</w:t>
      </w:r>
      <w:r>
        <w:t xml:space="preserve"> </w:t>
      </w:r>
      <w:r>
        <w:rPr>
          <w:bCs/>
          <w:b/>
        </w:rPr>
        <w:t xml:space="preserve">Follow</w:t>
      </w:r>
      <w:r>
        <w:t xml:space="preserve"> </w:t>
      </w:r>
      <w:r>
        <w:t xml:space="preserve">(data collected predominantly after 2014): Digital platforms, including cloud-based logistics, B2B e-commerce, electronic payment systems, and digital trade finance,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BodyText"/>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home to 52% of the k = 238 corpus, was a primary site of this diffusion.</w:t>
      </w:r>
    </w:p>
    <w:p>
      <w:pPr>
        <w:pStyle w:val="BodyText"/>
      </w:pPr>
      <w:r>
        <w:rPr>
          <w:bCs/>
          <w:b/>
        </w:rPr>
        <w:t xml:space="preserve">Hypothesis 2 (H2,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below approximately k = 30 per phase, the between-group test is 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conceptual-model"/>
    <w:p>
      <w:pPr>
        <w:pStyle w:val="Heading3"/>
      </w:pPr>
      <w:r>
        <w:t xml:space="preserve">2.6 Conceptual Model</w:t>
      </w:r>
    </w:p>
    <w:p>
      <w:pPr>
        <w:pStyle w:val="CaptionedFigure"/>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Figure 1: Conceptual model,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hypothesised between-regime Q_M statistically significant; H1 confirmed (Q_M = 17.35, p = .002); directional Exploratory Propositions E1a (Advanced largest) and E1b (Frontier smallest) not meta-analytically confirmable with sparse regime cells. (2) cDAI, Country Digital Adoption Index (H3), hypothesised positive amplification [High &gt; Low]; actual Q_M = 1.23 (p = .541), H3 not supported. (3) DPL Phase (H2), hypothesised Follow &gt; Precede; actual Q_M = 0.56 (p = .755), H2 not supported. The three-level model nests K = 288 effects within k = 238 studies (within-study σ²_(2) = 0.00874, I²_(2) = 54.1%) within between-study heterogeneity (between-study σ²_(3) = 0.00135, I²_(3) = 8.4%); total I² = 62.4%. Publication bias (H4 confirmed): Egger’s b = 0.475 (SE = 0.250, p = .057), Begg’s τ = −0.134 (p = .0007); trim-and-fill imputes k = 58 studies, adjusted r = .035;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2"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 https://osf.io/z37kn (DOI: 10.17605/OSF.IO/Z37KN; registered May 18, 2026).</w:t>
      </w:r>
    </w:p>
    <w:bookmarkEnd w:id="32"/>
    <w:bookmarkStart w:id="33"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capital structure, location strategy, antecedent/determinant language; STRONG_INCL,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India textile Born Globals I-P M-curve; S0240, SME internationalization speed → firm performance with organizational learning mediator; S0683,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3"/>
    <w:bookmarkStart w:id="37" w:name="data-extraction-and-quality-assurance"/>
    <w:p>
      <w:pPr>
        <w:pStyle w:val="Heading3"/>
      </w:pPr>
      <w:r>
        <w:t xml:space="preserve">3.3 Data Extraction and Quality Assurance</w:t>
      </w:r>
    </w:p>
    <w:bookmarkStart w:id="34"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Section 3.3.2.</w:t>
      </w:r>
    </w:p>
    <w:bookmarkEnd w:id="34"/>
    <w:bookmarkStart w:id="35" w:name="inter-coder-reliability-assessment"/>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 acceptable level for meta-analytic coding in IB research (Aguinis et al., 2011). ICR statistics are reported in Table 3.1 (see Results, Section 4.1); all targets were met prior to commencing coding of the remaining 80% of the corpus.</w:t>
      </w:r>
    </w:p>
    <w:bookmarkEnd w:id="35"/>
    <w:bookmarkStart w:id="36"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6"/>
    <w:bookmarkEnd w:id="37"/>
    <w:bookmarkStart w:id="38"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 ≥ 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Frontier/LDC (WGI ≤ −0.50;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 ≥ 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w:t>
      </w:r>
      <w:r>
        <w:t xml:space="preserve"> </w:t>
      </w:r>
      <w:r>
        <w:t xml:space="preserve">“</w:t>
      </w:r>
      <w:r>
        <w:t xml:space="preserve">Precede</w:t>
      </w:r>
      <w:r>
        <w:t xml:space="preserve">”</w:t>
      </w:r>
      <w:r>
        <w:t xml:space="preserve">: data collection predominantly prior to 2009 (median data year &lt; 2009);</w:t>
      </w:r>
      <w:r>
        <w:t xml:space="preserve"> </w:t>
      </w:r>
      <w:r>
        <w:t xml:space="preserve">“</w:t>
      </w:r>
      <w:r>
        <w:t xml:space="preserve">Span</w:t>
      </w:r>
      <w:r>
        <w:t xml:space="preserve">”</w:t>
      </w:r>
      <w:r>
        <w:t xml:space="preserve">: data collection spans 2005–2014 or cannot be classified as predominantly Precede or Follow;</w:t>
      </w:r>
      <w:r>
        <w:t xml:space="preserve"> </w:t>
      </w:r>
      <w:r>
        <w:t xml:space="preserve">“</w:t>
      </w:r>
      <w:r>
        <w:t xml:space="preserve">Follow</w:t>
      </w:r>
      <w:r>
        <w:t xml:space="preserve">”</w:t>
      </w:r>
      <w:r>
        <w:t xml:space="preserve">: data collection predominantly post-2014 (median data year ≥ 2015).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38"/>
    <w:bookmarkStart w:id="39"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9"/>
    <w:bookmarkStart w:id="40" w:name="publication-bias-assessment"/>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robustness-checks"/>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1"/>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1"/>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1"/>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1"/>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1"/>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results"/>
    <w:p>
      <w:pPr>
        <w:pStyle w:val="Heading2"/>
      </w:pPr>
      <w:r>
        <w:t xml:space="preserve">4. Results</w:t>
      </w:r>
    </w:p>
    <w:bookmarkStart w:id="43"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Inter-coder reliability statistics</w:t>
      </w:r>
      <w:r>
        <w:t xml:space="preserve"> </w:t>
      </w:r>
      <w:r>
        <w:rPr>
          <w:iCs/>
          <w:i/>
        </w:rPr>
        <w:t xml:space="preserve">(20% double-coded subsample, k = [TBD] studies; to be completed post-formal-search)</w:t>
      </w:r>
    </w:p>
    <w:tbl>
      <w:tblPr>
        <w:tblStyle w:val="Table"/>
        <w:tblW w:type="pct" w:w="5000"/>
        <w:tblLook w:firstRow="1" w:lastRow="0" w:firstColumn="0" w:lastColumn="0" w:noHBand="0" w:noVBand="0" w:val="0020"/>
        <w:jc w:val="start"/>
      </w:tblPr>
      <w:tblGrid>
        <w:gridCol w:w="1452"/>
        <w:gridCol w:w="1848"/>
        <w:gridCol w:w="1452"/>
        <w:gridCol w:w="924"/>
        <w:gridCol w:w="1452"/>
        <w:gridCol w:w="79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3"/>
    <w:bookmarkStart w:id="44"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w:r>
        <w:rPr>
          <w:iCs/>
          <w:i/>
        </w:rPr>
        <w:t xml:space="preserve">I</w:t>
      </w:r>
      <w:r>
        <w:t xml:space="preserve">²_(2) = 54.1%) is roughly six times the between-study contribution (Level 3,</w:t>
      </w:r>
      <w:r>
        <w:t xml:space="preserve"> </w:t>
      </w:r>
      <w:r>
        <w:rPr>
          <w:iCs/>
          <w:i/>
        </w:rPr>
        <w:t xml:space="preserve">I</w:t>
      </w:r>
      <w:r>
        <w:t xml:space="preserve">²_(3) = 8.4%).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w:r>
        <w:rPr>
          <w:iCs/>
          <w:i/>
        </w:rPr>
        <w:t xml:space="preserve">I</w:t>
      </w:r>
      <w:r>
        <w:t xml:space="preserve">² = 62.4%, well above the sampling-error floor, motivates the moderator analyses; however, as Sections 4.3–4.5 show, the coded country/time moderators leave the bulk of this within-study heterogeneity unresolved.</w:t>
      </w:r>
    </w:p>
    <w:bookmarkEnd w:id="44"/>
    <w:bookmarkStart w:id="48" w:name="icrv-regime-moderation-h1"/>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 omnibus between-regime moderation test is statistically significant, establishing that the I-P effect varies across coded institutional regimes. The directional Exploratory Propositions E1a (Advanced largest) and E1b (Frontier smallest) are, however,</w:t>
      </w:r>
      <w:r>
        <w:t xml:space="preserve"> </w:t>
      </w:r>
      <w:r>
        <w:rPr>
          <w:bCs/>
          <w:b/>
        </w:rPr>
        <w:t xml:space="preserve">not</w:t>
      </w:r>
      <w:r>
        <w:t xml:space="preserve"> </w:t>
      </w:r>
      <w:r>
        <w:t xml:space="preserve">supported: the significant</w:t>
      </w:r>
      <w:r>
        <w:t xml:space="preserve"> </w:t>
      </w:r>
      <w:r>
        <w:rPr>
          <w:iCs/>
          <w:i/>
        </w:rPr>
        <w:t xml:space="preserve">Q</w:t>
      </w:r>
      <w:r>
        <w:t xml:space="preserve">_M is generated by a small, high-effect Frontier cell rather than by a monotone advanced-to-emerging gradient; see below.</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pct" w:w="5000"/>
        <w:tblLook w:firstRow="1" w:lastRow="0" w:firstColumn="0" w:lastColumn="0" w:noHBand="0" w:noVBand="0" w:val="0020"/>
        <w:jc w:val="start"/>
      </w:tblPr>
      <w:tblGrid>
        <w:gridCol w:w="1545"/>
        <w:gridCol w:w="2704"/>
        <w:gridCol w:w="1159"/>
        <w:gridCol w:w="1545"/>
        <w:gridCol w:w="965"/>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CaptionedFigure"/>
      </w:pPr>
      <w:r>
        <w:drawing>
          <wp:inline>
            <wp:extent cx="5753100" cy="3430252"/>
            <wp:effectExtent b="0" l="0" r="0" t="0"/>
            <wp:docPr descr="Figure 2: ICRV regime forest plot,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Figure 2: ICRV regime forest plot,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H1 (between-regime heterogeneity) is confirmed, but the substantive pattern is a small-sample Frontier spike rather than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48"/>
    <w:bookmarkStart w:id="49"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49"/>
    <w:bookmarkStart w:id="53" w:name="dpl-phase-moderation-h2"/>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708"/>
        <w:gridCol w:w="1708"/>
        <w:gridCol w:w="776"/>
        <w:gridCol w:w="776"/>
        <w:gridCol w:w="1242"/>
        <w:gridCol w:w="1708"/>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CaptionedFigure"/>
      </w:pPr>
      <w:r>
        <w:drawing>
          <wp:inline>
            <wp:extent cx="5753100" cy="4403829"/>
            <wp:effectExtent b="0" l="0" r="0" t="0"/>
            <wp:docPr descr="Figure 3: DPL phase moderation,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Figure 3: DPL phase moderation,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3"/>
    <w:bookmarkStart w:id="57"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 α = .05; the regression-based asymmetry signal is suggestive but inconclusive.</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CaptionedFigure"/>
      </w:pPr>
      <w:r>
        <w:drawing>
          <wp:inline>
            <wp:extent cx="5753100" cy="4601444"/>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7"/>
    <w:bookmarkStart w:id="61" w:name="robustness"/>
    <w:p>
      <w:pPr>
        <w:pStyle w:val="Heading3"/>
      </w:pPr>
      <w:r>
        <w:t xml:space="preserve">4.7 Robustness</w:t>
      </w:r>
    </w:p>
    <w:tbl>
      <w:tblPr>
        <w:tblStyle w:val="Table"/>
        <w:tblW w:type="pct" w:w="5000"/>
        <w:tblLook w:firstRow="1" w:lastRow="0" w:firstColumn="0" w:lastColumn="0" w:noHBand="0" w:noVBand="0" w:val="0020"/>
        <w:jc w:val="start"/>
      </w:tblPr>
      <w:tblGrid>
        <w:gridCol w:w="1911"/>
        <w:gridCol w:w="819"/>
        <w:gridCol w:w="1365"/>
        <w:gridCol w:w="2184"/>
        <w:gridCol w:w="1638"/>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CaptionedFigure"/>
      </w:pPr>
      <w:r>
        <w:drawing>
          <wp:inline>
            <wp:extent cx="5753100" cy="2528953"/>
            <wp:effectExtent b="0" l="0" r="0" t="0"/>
            <wp:docPr descr="Figure 4: Leave-one-out sensitivity,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Figure 4: Leave-one-out sensitivity,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discussion"/>
    <w:p>
      <w:pPr>
        <w:pStyle w:val="Heading2"/>
      </w:pPr>
      <w:r>
        <w:t xml:space="preserve">5. Discussion</w:t>
      </w:r>
    </w:p>
    <w:bookmarkStart w:id="63"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reflects the single-country vs. multi-country distinction rather than a monotone institutional gradient,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3"/>
    <w:bookmarkStart w:id="64" w:name="theoretical-contributions"/>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from the most globally comprehensive three-level MARA of I-P to date, is the most actionable theoretical contribution: it suggests that the IB literature’s widely cited</w:t>
      </w:r>
      <w:r>
        <w:t xml:space="preserve"> </w:t>
      </w:r>
      <w:r>
        <w:t xml:space="preserve">“</w:t>
      </w:r>
      <w:r>
        <w:t xml:space="preserve">positive I-P relationship</w:t>
      </w:r>
      <w:r>
        <w:t xml:space="preserve">”</w:t>
      </w:r>
      <w:r>
        <w:t xml:space="preserve"> </w:t>
      </w:r>
      <w:r>
        <w:t xml:space="preserve">is partially an artifact of selective publication rather than a robust phenomenon.</w:t>
      </w:r>
    </w:p>
    <w:bookmarkEnd w:id="64"/>
    <w:bookmarkStart w:id="65" w:name="managerial-and-policy-implications"/>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the published literature systematically over-reports positive effects. Internationalization strategy should be driven by firm-specific competitive advantages and 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where positive effects are over-represented,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5"/>
    <w:bookmarkStart w:id="66"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conclusion"/>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and is dominated by within-study variance (Level 2, 54.1%) rather than between-study differences (Level 3, 8.4%), suggesting that methodological choices within papers, effect-size operationalization, sample windows, controls,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for instance, from vintage mismatch between the study’s data period and the DAI score’s reference year,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with explicit power analysis for each regime cell and OSF pre-registration,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8"/>
    <w:bookmarkStart w:id="6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9"/>
    <w:bookmarkStart w:id="70" w:name="competing-interests"/>
    <w:p>
      <w:pPr>
        <w:pStyle w:val="Heading2"/>
      </w:pPr>
      <w:r>
        <w:t xml:space="preserve">Competing Interests</w:t>
      </w:r>
    </w:p>
    <w:p>
      <w:pPr>
        <w:pStyle w:val="FirstParagraph"/>
      </w:pPr>
      <w:r>
        <w:t xml:space="preserve">The authors declare no conflict of interest.</w:t>
      </w:r>
    </w:p>
    <w:bookmarkEnd w:id="70"/>
    <w:bookmarkStart w:id="71"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1"/>
    <w:bookmarkStart w:id="72"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2"/>
    <w:bookmarkStart w:id="73" w:name="appendix-a-prisma-2020-flow-diagram"/>
    <w:p>
      <w:pPr>
        <w:pStyle w:val="Heading2"/>
      </w:pPr>
      <w:r>
        <w:t xml:space="preserve">Appendix A,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internationalization-to-performance)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3"/>
    <w:bookmarkStart w:id="74" w:name="appendix-b-coding-protocol-7-moderators"/>
    <w:p>
      <w:pPr>
        <w:pStyle w:val="Heading2"/>
      </w:pPr>
      <w:r>
        <w:t xml:space="preserve">Appendix B,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FR: &lt; −0.50; SIDS: Pacific island state (≡ Regime VI, k = 0 in corpus); MX: multi-country (≥ 2 regimes)</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4"/>
    <w:bookmarkStart w:id="75" w:name="Xf97f952f96803e451cdf304f81d710dfb198f95"/>
    <w:p>
      <w:pPr>
        <w:pStyle w:val="Heading2"/>
      </w:pPr>
      <w:r>
        <w:t xml:space="preserve">Appendix C,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1146"/>
        <w:gridCol w:w="3543"/>
        <w:gridCol w:w="323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Sections 3–4 expansion with confirmed metafor output once formal effect-size extraction from p6_study_database_coded.md is complete using the standardized coding protocol (Appendix B).</w: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2026-05-27T00:15:23Z</dcterms:created>
  <dcterms:modified xsi:type="dcterms:W3CDTF">2026-05-27T00:15:23Z</dcterms:modified>
</cp:coreProperties>
</file>

<file path=docProps/custom.xml><?xml version="1.0" encoding="utf-8"?>
<Properties xmlns="http://schemas.openxmlformats.org/officeDocument/2006/custom-properties" xmlns:vt="http://schemas.openxmlformats.org/officeDocument/2006/docPropsVTypes"/>
</file>