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compressing ascending-limb returns at low FSTS and attenuating performance decline at high FSTS (FSTS×DAI p &lt; .01; FSTS²×DAI p &lt; .01 in M8–M9),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2026-05-27T00:15:34Z</dcterms:created>
  <dcterms:modified xsi:type="dcterms:W3CDTF">2026-05-27T00:15:34Z</dcterms:modified>
</cp:coreProperties>
</file>

<file path=docProps/custom.xml><?xml version="1.0" encoding="utf-8"?>
<Properties xmlns="http://schemas.openxmlformats.org/officeDocument/2006/custom-properties" xmlns:vt="http://schemas.openxmlformats.org/officeDocument/2006/docPropsVTypes"/>
</file>