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 TCI) và Năng lực số (Digital Adoption Index — DAI) với mối quan hệ quốc tế hóa–hiệu quả doanh nghiệp (I–P) tại Singapore —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 FSTS) quan sát được phù hợp hơn với mô tả</w:t>
      </w:r>
      <w:r>
        <w:t xml:space="preserve"> </w:t>
      </w:r>
      <w:r>
        <w:t xml:space="preserve">“</w:t>
      </w:r>
      <w:r>
        <w:t xml:space="preserve">chủ yếu tăng đơn điệu với độ cong nhẹ hình parabol</w:t>
      </w:r>
      <w:r>
        <w:t xml:space="preserve">”</w:t>
      </w:r>
      <w:r>
        <w:t xml:space="preserve"> </w:t>
      </w:r>
      <w:r>
        <w:t xml:space="preserve">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 tính liên quan đến năng suất của nó chỉ kích hoạt khi có nhu cầu điều phối xuyên biên giới —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giới-thiệu"/>
    <w:p>
      <w:pPr>
        <w:pStyle w:val="Heading2"/>
      </w:pPr>
      <w:r>
        <w:t xml:space="preserve">1 Giới thiệu</w:t>
      </w:r>
    </w:p>
    <w:bookmarkStart w:id="21" w:name="bối-cảnh-và-động-cơ-nghiên-cứu"/>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các nghiên cứu rộng hơn (Marano et al. 2016). Tuy nhiên, phần lớn các nghiên cứu này được phát triển trong các bối cảnh tiền số hóa hoặc số hóa đang chuyển đổi, nơi điều kiện thể chế và hạ tầng khác biệt đáng kể so với các nền kinh tế số tiên tiến (Peng 2003; Peng et al. 2008). Do đó, các nghiên cứu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khoảng-trống-nghiên-cứu"/>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các nghiên cứu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các nghiên cứu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đóng-góp"/>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 DAI như đòn bẩy mở rộng quy mô có giá trị được hiện thực hóa dưới điều kiện cường độ xuất khẩu. Bằng chứng cho cơ chế này (H3: số hạng tương tác (interaction term) bậc hai DAI×FSTS² dương, β = +3,119, p = ,005) là phát hiện thực nghiệm đặc sắc nhất và ít được dự đoán nhất bởi các nghiên cứu trước.</w:t>
      </w:r>
    </w:p>
    <w:p>
      <w:pPr>
        <w:pStyle w:val="BodyText"/>
      </w:pPr>
      <w:r>
        <w:t xml:space="preserve">Đóng góp bổ trợ thứ nhất làm rõ các nghiên cứu I–P phi tuyến thông thường. Trong phạm vi cường độ xuất khẩu quan sát được, hàm bậc hai phù hợp có thể hiểu chắc chắn hơn là</w:t>
      </w:r>
      <w:r>
        <w:t xml:space="preserve"> </w:t>
      </w:r>
      <w:r>
        <w:t xml:space="preserve">“</w:t>
      </w:r>
      <w:r>
        <w:t xml:space="preserve">chủ yếu tăng đơn điệu với độ cong nhẹ</w:t>
      </w:r>
      <w:r>
        <w:t xml:space="preserve">”</w:t>
      </w:r>
      <w:r>
        <w:t xml:space="preserve"> </w:t>
      </w:r>
      <w:r>
        <w:t xml:space="preserve">hơn là đường cong chữ U ngược được xác định chính thức: điểm ngoặt ước tính nằm gần FSTS = 82%, trong vùng đuôi trên thưa dữ liệu, và kiểm định Lind–Mehlum không xác nhận chính thức sự suy giảm phía phải ở ngưỡng thông thường. Nghiên cứu này làm rõ thêm thay vì bác bỏ các nghiên cứu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kết-cấu-bài-báo"/>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lý-thuyết-và-giả-thuyết"/>
    <w:p>
      <w:pPr>
        <w:pStyle w:val="Heading2"/>
      </w:pPr>
      <w:r>
        <w:t xml:space="preserve">2 Lý thuyết và Giả thuyết</w:t>
      </w:r>
    </w:p>
    <w:bookmarkStart w:id="26" w:name="X912e9ffc8b80ffa113077437f5bc14caa0128e5"/>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các nghiên cứu này là đường cong chữ U ngược với điểm ngoặt trong khoảng FSTS 30%–60% (Marano et al. 2016).</w:t>
      </w:r>
    </w:p>
    <w:p>
      <w:pPr>
        <w:pStyle w:val="BodyText"/>
      </w:pPr>
      <w:r>
        <w:t xml:space="preserve">Một hàm ý quan trọng của các nghiên cứu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hai-cấu-trúc-phân-biệt-tci-và-dai"/>
    <w:p>
      <w:pPr>
        <w:pStyle w:val="Heading3"/>
      </w:pPr>
      <w:r>
        <w:t xml:space="preserve">2.2 Hai cấu trúc phân biệt: TCI và DAI</w:t>
      </w:r>
    </w:p>
    <w:p>
      <w:pPr>
        <w:pStyle w:val="FirstParagraph"/>
      </w:pPr>
      <w:r>
        <w:t xml:space="preserve">Một vấn đề lặp đi lặp lại trong các nghiên cứu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 TCI), được neo đậu trong truyền thống Lall–Cohen-Levinthal (Cohen &amp; Levinthal 1990; Lall 1992), với Năng lực số (Digital Adoption Index —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w:t>
      </w:r>
      <w:r>
        <w:t xml:space="preserve"> </w:t>
      </w:r>
      <w:r>
        <w:t xml:space="preserve">“</w:t>
      </w:r>
      <w:r>
        <w:t xml:space="preserve">áp dụng số</w:t>
      </w:r>
      <w:r>
        <w:t xml:space="preserve">”</w:t>
      </w:r>
      <w:r>
        <w:t xml:space="preserve"> </w:t>
      </w:r>
      <w:r>
        <w:t xml:space="preserve">có thể bảo vệ hơn</w:t>
      </w:r>
      <w:r>
        <w:t xml:space="preserve"> </w:t>
      </w:r>
      <w:r>
        <w:t xml:space="preserve">“</w:t>
      </w:r>
      <w:r>
        <w:t xml:space="preserve">năng lực số</w:t>
      </w:r>
      <w:r>
        <w:t xml:space="preserve">”</w:t>
      </w:r>
      <w:r>
        <w:t xml:space="preserve"> </w:t>
      </w:r>
      <w:r>
        <w:t xml:space="preserve">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d8ac83d5c388707f18e2d2c91d00af829a3643f"/>
    <w:p>
      <w:pPr>
        <w:pStyle w:val="Heading3"/>
      </w:pPr>
      <w:r>
        <w:t xml:space="preserve">2.3 Xây dựng giả thuyết (hypothesis development)</w:t>
      </w:r>
    </w:p>
    <w:bookmarkStart w:id="28" w:name="tác-động-trực-tiếp-của-tci-lên-năng-suất"/>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434a2304a3a02ccb46993eea8dfac879db9412e"/>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tác-động-trực-tiếp-của-dai-lên-năng-suất"/>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0d3da000a380d40e03dc6f69d483167e9475fa0"/>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mô-hình-khái-niệm"/>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CaptionedFigure"/>
      </w:pPr>
      <w:r>
        <w:drawing>
          <wp:inline>
            <wp:extent cx="5753100" cy="3978568"/>
            <wp:effectExtent b="0" l="0" r="0" t="0"/>
            <wp:docPr descr="Hình 1: Mô hình khái niệm —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Hình 1: Mô hình khái niệm — TCI và DAI điều tiết mối quan hệ I–P</w:t>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phương-pháp"/>
    <w:p>
      <w:pPr>
        <w:pStyle w:val="Heading2"/>
      </w:pPr>
      <w:r>
        <w:t xml:space="preserve">3 Phương pháp</w:t>
      </w:r>
    </w:p>
    <w:bookmarkStart w:id="38" w:name="dữ-liệu"/>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biến-số"/>
    <w:p>
      <w:pPr>
        <w:pStyle w:val="Heading3"/>
      </w:pPr>
      <w:r>
        <w:t xml:space="preserve">3.2 Biến số</w:t>
      </w:r>
    </w:p>
    <w:bookmarkStart w:id="39" w:name="biến-phụ-thuộc"/>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biến-độc-lập-trọng-tâm"/>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chỉ-số-tổng-hợp-tci-và-dai"/>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biến-kiểm-soát"/>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0c03c14dd7aa9aa2e0d2d816886337e43470026"/>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 FSTS_c + β₂, FSTS_c² + β₃, TCI + β₄, DAI + β₅, (FSTS_c × DAI) + β₆, (FSTS_c² × DAI) + γ, 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điều-kiện-biên-và-phạm-vi-nhận-dạng"/>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82% nằm trong vùng thưa dữ liệu, và khoảng tin cậy bootstrap 95% rộng ([53%, 253%]) mặc dù hình dạng chữ U ngược được phục hồi trong 96,3%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 nhưng cách đọc phù hợp của null này không phải là</w:t>
      </w:r>
      <w:r>
        <w:t xml:space="preserve"> </w:t>
      </w:r>
      <w:r>
        <w:t xml:space="preserve">“</w:t>
      </w:r>
      <w:r>
        <w:t xml:space="preserve">đường cong chữ U ngược thất bại</w:t>
      </w:r>
      <w:r>
        <w:t xml:space="preserve">”</w:t>
      </w:r>
      <w:r>
        <w:t xml:space="preserve">, vì kiểm định được điều kiện hóa trên hỗ trợ dày đặc xung quanh điểm ngoặt, mà điều kiện biên Mục 3.4(i) xác lập là vắng mặt ở đây. Được đọc dựa trên giả thuyết bão hòa được phát triển trong Mục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0,264, SE = 0,138, t = 1,92, p = ,055), cho thấy lựa chọn nhẹ ở biên độ mở rộng của tham gia xuất khẩu. Số hạng tương tác (interaction term) DAI × FSTS² chính (H3 khuếch đại) và hệ số TCI không bị thay đổi đáng kể (|Δ| &lt; 0,02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kết-quả"/>
    <w:p>
      <w:pPr>
        <w:pStyle w:val="Heading2"/>
      </w:pPr>
      <w:r>
        <w:t xml:space="preserve">4 Kết quả</w:t>
      </w:r>
    </w:p>
    <w:bookmarkStart w:id="47" w:name="thống-kê-mô-tả"/>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11,42 với độ lệch chuẩn 1,18, trong khi giá trị trung bình FSTS là 0,045 với độ lệch chuẩn 0,144, xác nhận rằng hầu hết doanh nghiệp trong mẫu có định hướng nội địa. TCI và DAI có tương quan dương ở r = 0,31,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487076af44c710ae5122d605248e42257b79655"/>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+2,652, SE = 0,691, p &lt; ,001), trong khi số hạng bình phương âm (β = −1,705, SE = 0,931,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 khoảng 67% doanh nghiệp báo cáo hiện diện trực tuyến (website) và áp dụng thanh toán điện tử Tầng 2 phổ biến rộng rãi —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w:t>
      </w:r>
      <w:r>
        <w:t xml:space="preserve"> </w:t>
      </w:r>
      <w:r>
        <w:t xml:space="preserve">“</w:t>
      </w:r>
      <w:r>
        <w:t xml:space="preserve">không có chữ U ngược</w:t>
      </w:r>
      <w:r>
        <w:t xml:space="preserve">”</w:t>
      </w:r>
      <w:r>
        <w:t xml:space="preserve"> </w:t>
      </w:r>
      <w:r>
        <w:t xml:space="preserve">với</w:t>
      </w:r>
      <w:r>
        <w:t xml:space="preserve"> </w:t>
      </w:r>
      <w:r>
        <w:t xml:space="preserve">“</w:t>
      </w:r>
      <w:r>
        <w:t xml:space="preserve">chữ U ngược mà sự suy giảm phía phải đã bị đẩy vào đuôi trên không quan sát được.</w:t>
      </w:r>
      <w:r>
        <w:t xml:space="preserve">”</w:t>
      </w:r>
      <w:r>
        <w:t xml:space="preserve"> </w:t>
      </w:r>
      <w:r>
        <w:t xml:space="preserve">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các nghiên cứu phi tuyến thông thường, đồng thời giữ cách diễn giải trong phạm vi hỗ trợ thực nghiệm thực sự có sẵn trong mẫu Singapore.</w:t>
      </w:r>
    </w:p>
    <w:bookmarkEnd w:id="48"/>
    <w:bookmarkStart w:id="49" w:name="kết-quả-tci"/>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0,168, SE = 0,040, p &lt; ,001). Độ phù hợp mô hình cũng cải thiện so với đường cơ sở bậc hai, với R² tăng từ 0,178 trong Mô hình M2 lên 0,199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kết-quả-dai"/>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0,104, SE = 0,038, p = ,007). Tuy nhiên, khi TCI được đưa vào cùng với DAI trong Mô hình M7, hệ số DAI suy yếu còn β = 0,077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 Singapore 2023.</w:t>
      </w:r>
    </w:p>
    <w:p>
      <w:pPr>
        <w:pStyle w:val="BodyText"/>
      </w:pPr>
      <w:r>
        <w:rPr>
          <w:iCs/>
          <w:i/>
        </w:rPr>
        <w:t xml:space="preserve">Biến phụ thuộc: Ln(Năng suất lao động). Sai số chuẩn cụm (clustered standard errors) HC1 trong ngoặc đơn.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DN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DN</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NN</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R² hiệu chỉnh</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w:t>
      </w:r>
      <w:r>
        <w:t xml:space="preserve"> </w:t>
      </w:r>
      <w:r>
        <w:t xml:space="preserve">“</w:t>
      </w:r>
      <w:r>
        <w:t xml:space="preserve">chủ yếu đơn điệu dương với độ cong bậc hai nhẹ</w:t>
      </w:r>
      <w:r>
        <w:t xml:space="preserve">”</w:t>
      </w:r>
      <w:r>
        <w:t xml:space="preserve"> </w:t>
      </w:r>
      <w:r>
        <w:t xml:space="preserve">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0,019, p = ,705), số hạng tương tác (interaction term) tuyến tính với FSTS âm và biên (β = −1,177, p = ,083), và số hạng tương tác (interaction term) bậc hai dương và có ý nghĩa thống kê (β = 3,119, SE = 1,124, p = ,005). Mô hình M8 cũng tạo ra sức giải thích cao nhất trong số các đặc tả chính, với R² = 0,211 và R² hiệu chỉnh = 0,196.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+0,660 ở FSTS = 70% và +1,818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CaptionedFigure"/>
      </w:pPr>
      <w:r>
        <w:drawing>
          <wp:inline>
            <wp:extent cx="5564514" cy="3588675"/>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564514" cy="3588675"/>
                    </a:xfrm>
                    <a:prstGeom prst="rect">
                      <a:avLst/>
                    </a:prstGeom>
                    <a:noFill/>
                    <a:ln w="9525">
                      <a:noFill/>
                      <a:headEnd/>
                      <a:tailEnd/>
                    </a:ln>
                  </pic:spPr>
                </pic:pic>
              </a:graphicData>
            </a:graphic>
          </wp:inline>
        </w:drawing>
      </w:r>
    </w:p>
    <w:p>
      <w:pPr>
        <w:pStyle w:val="ImageCaption"/>
      </w:pPr>
      <w:r>
        <w:t xml:space="preserve">Hình 2: Tác động biên của DAI lên log năng suất lao động theo các mức FSTS khác nhau (Singapore, N=617)</w:t>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~3,2% doanh nghiệp).</w:t>
      </w:r>
    </w:p>
    <w:p>
      <w:pPr>
        <w:pStyle w:val="CaptionedFigure"/>
      </w:pPr>
      <w:r>
        <w:drawing>
          <wp:inline>
            <wp:extent cx="5422070" cy="3593270"/>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422070" cy="3593270"/>
                    </a:xfrm>
                    <a:prstGeom prst="rect">
                      <a:avLst/>
                    </a:prstGeom>
                    <a:noFill/>
                    <a:ln w="9525">
                      <a:noFill/>
                      <a:headEnd/>
                      <a:tailEnd/>
                    </a:ln>
                  </pic:spPr>
                </pic:pic>
              </a:graphicData>
            </a:graphic>
          </wp:inline>
        </w:drawing>
      </w:r>
    </w:p>
    <w:p>
      <w:pPr>
        <w:pStyle w:val="ImageCaption"/>
      </w:pPr>
      <w:r>
        <w:t xml:space="preserve">Hình 3: Đường cong I–P dự đoán với dải tin cậy bootstrap (Singapore, OLS M2)</w:t>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82% theo thang gốc, nhưng khoảng tin cậy bootstrap phân vị 95% của nó (5.000 lần tái lấy mẫu) trải dài [53%, 253%]; hình dạng chữ U ngược được phục hồi trong 96,3%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kiểm-định-vững-robustness-check"/>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4,56 [p = ,011] trong đặc tả chuẩn xuống 1,88 [p = ,154]).</w:t>
      </w:r>
    </w:p>
    <w:p>
      <w:pPr>
        <w:pStyle w:val="BodyText"/>
      </w:pPr>
      <w:r>
        <w:t xml:space="preserve">Cohen’s f² cho tác động trực tiếp TCI (so sánh M2 với M5) khoảng 0,036, trong phạm vi nhỏ đến trung bình; Cohen’s f² cho khối điều tiết DAI (so sánh M7 với M8) khoảng 0,018, dưới ngưỡng hiệu ứng nhỏ thông thường của Cohen (1988) là 0,02.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thảo-luận"/>
    <w:p>
      <w:pPr>
        <w:pStyle w:val="Heading2"/>
      </w:pPr>
      <w:r>
        <w:t xml:space="preserve">5 Thảo luận</w:t>
      </w:r>
    </w:p>
    <w:bookmarkStart w:id="59" w:name="hàm-ý-lý-thuyết"/>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các nghiên cứu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 Diễn giải theo logic</w:t>
      </w:r>
      <w:r>
        <w:t xml:space="preserve"> </w:t>
      </w:r>
      <w:r>
        <w:rPr>
          <w:bCs/>
          <w:b/>
        </w:rPr>
        <w:t xml:space="preserve">khấu hao chi phí giao dịch cố định (fixed transaction cost amortization)</w:t>
      </w:r>
      <w:r>
        <w:t xml:space="preserve">, chi phí cố định chìm của việc triển khai các giao diện số nâng cao chỉ được thu hồi ở quy mô xuất khẩu cực cao; đây là một lý do khiến điểm ngoặt suy ra bị đẩy vào đuôi FSTS cao (≈82%) thay vì dải 30–60% thông thường (một ước lượng bị giới hạn bởi vùng thưa dữ liệu, không phải một ngưỡng chính xác). Ở vai trò này, DAI vận hành như một</w:t>
      </w:r>
      <w:r>
        <w:t xml:space="preserve"> </w:t>
      </w:r>
      <w:r>
        <w:rPr>
          <w:bCs/>
          <w:b/>
        </w:rPr>
        <w:t xml:space="preserve">chất bôi trơn quy mô (scale lubricant)</w:t>
      </w:r>
      <w:r>
        <w:t xml:space="preserve"> </w:t>
      </w:r>
      <w:r>
        <w:t xml:space="preserve">làm giảm chi phí điều phối biên của mỗi đơn vị thông lượng xuyên biên giới tăng thêm, chứ không phải một phần thưởng năng suất đồng đều toàn doanh nghiệp.</w:t>
      </w:r>
    </w:p>
    <w:p>
      <w:pPr>
        <w:pStyle w:val="BodyText"/>
      </w:pPr>
      <w:r>
        <w:rPr>
          <w:bCs/>
          <w:b/>
        </w:rPr>
        <w:t xml:space="preserve">Phân xử thực nghiệm giữa ba cơ chế ứng viên được đặt ra trong Mục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Mục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 hiện diện trang web (c22b) kết hợp với tích hợp thanh toán điện tử (k33/k38) được nhúng trong hạ tầng số công cộng —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hàm-ý-quản-lý"/>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kết-luận"/>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các nghiên cứu I–P phi tuyến trong bối cảnh này. Trong phạm vi cường độ xuất khẩu quan sát được, pattern cơ sở phù hợp hơn với mô tả</w:t>
      </w:r>
      <w:r>
        <w:t xml:space="preserve"> </w:t>
      </w:r>
      <w:r>
        <w:t xml:space="preserve">“</w:t>
      </w:r>
      <w:r>
        <w:t xml:space="preserve">chủ yếu tăng đơn điệu với độ cong bậc hai nhẹ</w:t>
      </w:r>
      <w:r>
        <w:t xml:space="preserve">”</w:t>
      </w:r>
      <w:r>
        <w:t xml:space="preserve"> </w:t>
      </w:r>
      <w:r>
        <w:t xml:space="preserve">hơn là đường cong chữ U ngược được xác định chính thức, vì điểm ngoặt ước tính nằm trong vùng đuôi trên thưa dữ liệu và được xác định không chính xác. Được đọc theo cách này, bằng chứng không bác bỏ các nghiên cứu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hạn-chế-và-hướng-nghiên-cứu-tương-lai"/>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 hiện diện số và sử dụng giao dịch điện tử —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4"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 www.enterprisesurveys.org. Các script phân tích để tái lập kết quả có sẵn từ tác giả liên hệ theo yêu cầu hợp lý.</w:t>
      </w:r>
    </w:p>
    <w:bookmarkEnd w:id="64"/>
    <w:bookmarkStart w:id="65"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p>
      <w:r>
        <w:pict>
          <v:rect style="width:0;height:1.5pt" o:hralign="center" o:hrstd="t" o:hr="t"/>
        </w:pict>
      </w:r>
    </w:p>
    <w:bookmarkEnd w:id="65"/>
    <w:bookmarkStart w:id="66"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O’Brien, R. M. (2007). A caution regarding rules of thumb for variance inflation factors.</w:t>
      </w:r>
      <w:r>
        <w:t xml:space="preserve"> </w:t>
      </w:r>
      <w:r>
        <w:rPr>
          <w:iCs/>
          <w:i/>
        </w:rPr>
        <w:t xml:space="preserve">Quality &amp; Quantity, 41</w:t>
      </w:r>
      <w:r>
        <w:t xml:space="preserve">(5), 673–690. https://doi.org/10.1007/s11135-006-9018-6</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Nguồn bối cảnh bổ sung (trích dẫn trong Mục 1.1 và Mục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p>
    <w:p>
      <w:pPr>
        <w:pStyle w:val="BodyText"/>
      </w:pPr>
      <w:r>
        <w:t xml:space="preserve">World Bank. (2024).</w:t>
      </w:r>
      <w:r>
        <w:t xml:space="preserve"> </w:t>
      </w:r>
      <w:r>
        <w:rPr>
          <w:iCs/>
          <w:i/>
        </w:rPr>
        <w:t xml:space="preserve">World Bank Enterprise Survey: Singapore 2023</w:t>
      </w:r>
      <w:r>
        <w:t xml:space="preserve">. https://www.enterprisesurveys.org</w:t>
      </w:r>
    </w:p>
    <w:bookmarkEnd w:id="66"/>
    <w:bookmarkEnd w:id="6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2026-05-27T00:14:17Z</dcterms:created>
  <dcterms:modified xsi:type="dcterms:W3CDTF">2026-05-27T00:14:17Z</dcterms:modified>
</cp:coreProperties>
</file>

<file path=docProps/custom.xml><?xml version="1.0" encoding="utf-8"?>
<Properties xmlns="http://schemas.openxmlformats.org/officeDocument/2006/custom-properties" xmlns:vt="http://schemas.openxmlformats.org/officeDocument/2006/docPropsVTypes"/>
</file>