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phương-pháp-nghiên-cứu"/>
    <w:p>
      <w:pPr>
        <w:pStyle w:val="Heading1"/>
      </w:pPr>
      <w:r>
        <w:t xml:space="preserve">Phương pháp nghiên cứu</w:t>
      </w:r>
    </w:p>
    <w:p>
      <w:pPr>
        <w:pStyle w:val="FirstParagraph"/>
      </w:pPr>
      <w:r>
        <w:t xml:space="preserve">File này trình bày thiết kế nghiên cứu, nguồn dữ liệu, đo lường biến, mô hình phân tích và kiểm định độ vững. Mỗi thành phần đều được giải thích theo hai loại cơ sở:</w:t>
      </w:r>
    </w:p>
    <w:p>
      <w:pPr>
        <w:numPr>
          <w:ilvl w:val="0"/>
          <w:numId w:val="1001"/>
        </w:numPr>
        <w:pStyle w:val="Compact"/>
      </w:pPr>
      <w:r>
        <w:rPr>
          <w:bCs/>
          <w:b/>
        </w:rPr>
        <w:t xml:space="preserve">Cơ sở kế thừa</w:t>
      </w:r>
      <w:r>
        <w:t xml:space="preserve">: phương pháp đã được công nhận trong literature, kèm citation APA 7th.</w:t>
      </w:r>
    </w:p>
    <w:p>
      <w:pPr>
        <w:numPr>
          <w:ilvl w:val="0"/>
          <w:numId w:val="1001"/>
        </w:numPr>
        <w:pStyle w:val="Compact"/>
      </w:pPr>
      <w:r>
        <w:rPr>
          <w:bCs/>
          <w:b/>
        </w:rPr>
        <w:t xml:space="preserve">Đóng góp mới/điều chỉnh</w:t>
      </w:r>
      <w:r>
        <w:t xml:space="preserve">: những điểm mà luận án cải tiến hoặc tổ chức mới, kèm lập luận rõ ràng.</w:t>
      </w:r>
    </w:p>
    <w:bookmarkStart w:id="22" w:name="X56424e3208dc91a2885d1c297474f714b95bcea"/>
    <w:p>
      <w:pPr>
        <w:pStyle w:val="Heading2"/>
      </w:pPr>
      <w:r>
        <w:t xml:space="preserve">1. Thiết kế nghiên cứu tổng thể</w:t>
      </w:r>
    </w:p>
    <w:bookmarkStart w:id="20" w:name="X754c796eb9648f308f08c432f0050cd9b94c6c8"/>
    <w:p>
      <w:pPr>
        <w:pStyle w:val="Heading3"/>
      </w:pPr>
      <w:r>
        <w:t xml:space="preserve">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Đỗ và Phan (2026 — VEFR).</w:t>
      </w:r>
    </w:p>
    <w:bookmarkEnd w:id="20"/>
    <w:bookmarkStart w:id="21" w:name="X248f0021a5a12709954fcf24a7f49cf9c0e965e"/>
    <w:p>
      <w:pPr>
        <w:pStyle w:val="Heading3"/>
      </w:pPr>
      <w:r>
        <w:t xml:space="preserve">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099187d4d77291265428c7dacb6385eb4b3527"/>
    <w:p>
      <w:pPr>
        <w:pStyle w:val="Heading2"/>
      </w:pPr>
      <w:r>
        <w:t xml:space="preserve">2. Phase 1: Meta-analysis 1982–2026</w:t>
      </w:r>
    </w:p>
    <w:bookmarkStart w:id="23" w:name="X1551a254f454544efc95505360b4c5c9d00b320"/>
    <w:p>
      <w:pPr>
        <w:pStyle w:val="Heading3"/>
      </w:pPr>
      <w:r>
        <w:t xml:space="preserve">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0c1e6180491331dbef38f8b5cf97fc0ecad3881"/>
    <w:p>
      <w:pPr>
        <w:pStyle w:val="Heading3"/>
      </w:pPr>
      <w:r>
        <w:t xml:space="preserve">2.2 Đóng góp mới/điều chỉnh</w:t>
      </w:r>
    </w:p>
    <w:p>
      <w:pPr>
        <w:numPr>
          <w:ilvl w:val="0"/>
          <w:numId w:val="1002"/>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2"/>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2"/>
        </w:numPr>
        <w:pStyle w:val="Compact"/>
      </w:pPr>
      <w:r>
        <w:rPr>
          <w:bCs/>
          <w:b/>
        </w:rPr>
        <w:t xml:space="preserve">Mục tiêu pool</w:t>
      </w:r>
      <w:r>
        <w:t xml:space="preserve">: ~172 effect-size units, tăng so với 200 effect sizes / 113 nghiên cứu trong bản nền.</w:t>
      </w:r>
    </w:p>
    <w:p>
      <w:pPr>
        <w:numPr>
          <w:ilvl w:val="0"/>
          <w:numId w:val="1002"/>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Đỗ và Phan (2026 — VEFR).</w:t>
      </w:r>
    </w:p>
    <w:bookmarkEnd w:id="24"/>
    <w:bookmarkStart w:id="25" w:name="X8ff9d76b57ab4183f46a16fef6b447d1a7ef01d"/>
    <w:p>
      <w:pPr>
        <w:pStyle w:val="Heading3"/>
      </w:pPr>
      <w:r>
        <w:t xml:space="preserve">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6aa474f7b2e6804e45c9b533f4c4995c8a51f0e"/>
    <w:p>
      <w:pPr>
        <w:pStyle w:val="Heading2"/>
      </w:pPr>
      <w:r>
        <w:t xml:space="preserve">3. Phase 2: Multi-country empirical analysis</w:t>
      </w:r>
    </w:p>
    <w:bookmarkStart w:id="27" w:name="X84ced60e62ea90934832891098abf01a4d917e5"/>
    <w:p>
      <w:pPr>
        <w:pStyle w:val="Heading3"/>
      </w:pPr>
      <w:r>
        <w:t xml:space="preserve">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(Đỗ &amp; Phan, 2026 — VEFR).</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(Đỗ &amp; Phan, 2026 — P8 manuscript).</w:t>
      </w:r>
    </w:p>
    <w:bookmarkEnd w:id="27"/>
    <w:bookmarkStart w:id="28" w:name="X627d9e57359624ba53d60ada46440408c767234"/>
    <w:p>
      <w:pPr>
        <w:pStyle w:val="Heading3"/>
      </w:pPr>
      <w:r>
        <w:t xml:space="preserve">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(Đỗ &amp; Phan, 2026 — VEFR).</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15f8964cdacf2e18287cd2f7dddc106f078f343"/>
    <w:p>
      <w:pPr>
        <w:pStyle w:val="Heading3"/>
      </w:pPr>
      <w:r>
        <w:t xml:space="preserve">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Đỗ và Phan (2026 — JFAR) xác nhận có ý nghĩa thống kê ở Trung Quốc với turning point ~47,8% FSTS, làm baseline cho việc kiểm định mở rộng trong luận án.</w:t>
      </w:r>
    </w:p>
    <w:bookmarkEnd w:id="29"/>
    <w:bookmarkStart w:id="33" w:name="Xdd2644898f5d54c5cc66b5de84b6ed843e574dc"/>
    <w:p>
      <w:pPr>
        <w:pStyle w:val="Heading3"/>
      </w:pPr>
      <w:r>
        <w:t xml:space="preserve">3.4 Đo lường biến điều tiết</w:t>
      </w:r>
    </w:p>
    <w:bookmarkStart w:id="30" w:name="Xc9447eee4507cc41fc1bfd78b7a464443ed9908"/>
    <w:p>
      <w:pPr>
        <w:pStyle w:val="Heading4"/>
      </w:pPr>
      <w:r>
        <w:t xml:space="preserve">3.4.1 Digital constructs (TCI và DAI)</w:t>
      </w:r>
    </w:p>
    <w:p>
      <w:pPr>
        <w:pStyle w:val="FirstParagraph"/>
      </w:pPr>
      <w:r>
        <w:t xml:space="preserve">Luận án phân biệt rõ hai construct:</w:t>
      </w:r>
    </w:p>
    <w:p>
      <w:pPr>
        <w:numPr>
          <w:ilvl w:val="0"/>
          <w:numId w:val="1003"/>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3"/>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Đỗ và Phan (2026 — VEFR)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X675dba3bc66f04bdb35ea3e98db6777f7453517"/>
    <w:p>
      <w:pPr>
        <w:pStyle w:val="Heading4"/>
      </w:pPr>
      <w:r>
        <w:t xml:space="preserve">3.4.2 Institutional variables</w:t>
      </w:r>
    </w:p>
    <w:p>
      <w:pPr>
        <w:pStyle w:val="FirstParagraph"/>
      </w:pPr>
      <w:r>
        <w:rPr>
          <w:bCs/>
          <w:b/>
        </w:rPr>
        <w:t xml:space="preserve">Biến chính</w:t>
      </w:r>
      <w:r>
        <w:t xml:space="preserve">: business obstacle index (tổng hợp từ các câu hỏi WBES về obstacles), country-level governance proxies (WGI Rule of Law,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Xafb7051784bd2190b9c0ec64eb794b969a7e6b4"/>
    <w:p>
      <w:pPr>
        <w:pStyle w:val="Heading4"/>
      </w:pPr>
      <w:r>
        <w:t xml:space="preserve">3.4.3 Top manager characteristics</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47e64c38922de9c9938d7912558eba6c86d3a28"/>
    <w:p>
      <w:pPr>
        <w:pStyle w:val="Heading3"/>
      </w:pPr>
      <w:r>
        <w:t xml:space="preserve">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8" w:name="X739c39ba72bd4ab9a65ae6cfaca8e78ae4b0f0d"/>
    <w:p>
      <w:pPr>
        <w:pStyle w:val="Heading2"/>
      </w:pPr>
      <w:r>
        <w:t xml:space="preserve">4. Mô hình phân tích</w:t>
      </w:r>
    </w:p>
    <w:bookmarkStart w:id="36" w:name="X4c78f5166bf22e57c1f525071727cb59025b68d"/>
    <w:p>
      <w:pPr>
        <w:pStyle w:val="Heading3"/>
      </w:pPr>
      <w:r>
        <w:t xml:space="preserve">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27365d5351c4f2028e401b959ec157ce9c1b5c2"/>
    <w:p>
      <w:pPr>
        <w:pStyle w:val="Heading3"/>
      </w:pPr>
      <w:r>
        <w:t xml:space="preserve">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e9bba9a80ef10577157c3d15edb876549972c2d"/>
    <w:p>
      <w:pPr>
        <w:pStyle w:val="Heading3"/>
      </w:pPr>
      <w:r>
        <w:t xml:space="preserve">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Đỗ và Phan (2026 — JFAR)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51b5e48835a9a5e2281d2341b4476bdb9f6a4ee"/>
    <w:p>
      <w:pPr>
        <w:pStyle w:val="Heading3"/>
      </w:pPr>
      <w:r>
        <w:t xml:space="preserve">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0"/>
    <w:bookmarkEnd w:id="41"/>
    <w:bookmarkStart w:id="42" w:name="Xb324e1905a61cd1592d7ebf92cf5cd7957d9e09"/>
    <w:p>
      <w:pPr>
        <w:pStyle w:val="Heading3"/>
      </w:pPr>
      <w:r>
        <w:t xml:space="preserve">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Đỗ và Phan (2026 — JFAR)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b935b07a7139bdf4772bb962fde35bc1f7deef3"/>
    <w:p>
      <w:pPr>
        <w:pStyle w:val="Heading3"/>
      </w:pPr>
      <w:r>
        <w:t xml:space="preserve">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 Tier-1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1a84e23bcffcf0b809a67054bf546d98a0649dd"/>
    <w:p>
      <w:pPr>
        <w:pStyle w:val="Heading3"/>
      </w:pPr>
      <w:r>
        <w:t xml:space="preserve">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 z-std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sector fixed effects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9ef80487c12e0f5dad14bc0925ba05bca166c52"/>
    <w:p>
      <w:pPr>
        <w:pStyle w:val="Heading3"/>
      </w:pPr>
      <w:r>
        <w:t xml:space="preserve">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6"/>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và 47,2% (2024)</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5"/>
    <w:bookmarkStart w:id="46" w:name="X4e8b67ecad9724beebae0d23d08617f128f911b"/>
    <w:p>
      <w:pPr>
        <w:pStyle w:val="Heading3"/>
      </w:pPr>
      <w:r>
        <w:t xml:space="preserve">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7"/>
        </w:numPr>
        <w:pStyle w:val="Compact"/>
      </w:pPr>
      <w:r>
        <w:rPr>
          <w:bCs/>
          <w:b/>
        </w:rPr>
        <w:t xml:space="preserve">lnNSLD_it</w:t>
      </w:r>
      <w:r>
        <w:t xml:space="preserve">: ln(năng suất lao động) = ln(doanh thu / lao động thường trực) — biến phụ thuộc</w:t>
      </w:r>
    </w:p>
    <w:p>
      <w:pPr>
        <w:numPr>
          <w:ilvl w:val="0"/>
          <w:numId w:val="1007"/>
        </w:numPr>
        <w:pStyle w:val="Compact"/>
      </w:pPr>
      <w:r>
        <w:rPr>
          <w:bCs/>
          <w:b/>
        </w:rPr>
        <w:t xml:space="preserve">CDDXK_c_it</w:t>
      </w:r>
      <w:r>
        <w:t xml:space="preserve">: cường độ xuất khẩu mean-centred — FSTS_c = (d3c/100) − mean_pool(FSTS)</w:t>
      </w:r>
    </w:p>
    <w:p>
      <w:pPr>
        <w:numPr>
          <w:ilvl w:val="0"/>
          <w:numId w:val="1007"/>
        </w:numPr>
        <w:pStyle w:val="Compact"/>
      </w:pPr>
      <w:r>
        <w:rPr>
          <w:bCs/>
          <w:b/>
        </w:rPr>
        <w:t xml:space="preserve">CDDXK_c²_it</w:t>
      </w:r>
      <w:r>
        <w:t xml:space="preserve">: CDDXK_c bình phương — kiểm định phi tuyến</w:t>
      </w:r>
    </w:p>
    <w:p>
      <w:pPr>
        <w:numPr>
          <w:ilvl w:val="0"/>
          <w:numId w:val="1007"/>
        </w:numPr>
        <w:pStyle w:val="Compact"/>
      </w:pPr>
      <w:r>
        <w:rPr>
          <w:bCs/>
          <w:b/>
        </w:rPr>
        <w:t xml:space="preserve">NLCN_z_it</w:t>
      </w:r>
      <w:r>
        <w:t xml:space="preserve">: năng lực công nghệ z-standardised — TCI_z = z-std(b8, e6)</w:t>
      </w:r>
    </w:p>
    <w:p>
      <w:pPr>
        <w:numPr>
          <w:ilvl w:val="0"/>
          <w:numId w:val="1007"/>
        </w:numPr>
        <w:pStyle w:val="Compact"/>
      </w:pPr>
      <w:r>
        <w:rPr>
          <w:bCs/>
          <w:b/>
        </w:rPr>
        <w:t xml:space="preserve">CSS_z_it</w:t>
      </w:r>
      <w:r>
        <w:t xml:space="preserve">: chỉ số số hoá z-standardised — DAI_z = z-std(website + e-pay, Tier 1+2: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Advanced→SIDS)</w:t>
      </w:r>
    </w:p>
    <w:p>
      <w:pPr>
        <w:numPr>
          <w:ilvl w:val="0"/>
          <w:numId w:val="1007"/>
        </w:numPr>
        <w:pStyle w:val="Compact"/>
      </w:pPr>
      <w:r>
        <w:rPr>
          <w:bCs/>
          <w:b/>
        </w:rPr>
        <w:t xml:space="preserve">lnLD_it</w:t>
      </w:r>
      <w:r>
        <w:t xml:space="preserve">: ln(lao động thường trực) —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End w:id="46"/>
    <w:bookmarkStart w:id="47" w:name="X6ef7915cef2320d0a5a0851ec4b4441ab8af223"/>
    <w:p>
      <w:pPr>
        <w:pStyle w:val="Heading3"/>
      </w:pPr>
      <w:r>
        <w:t xml:space="preserve">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7"/>
    <w:bookmarkEnd w:id="48"/>
    <w:bookmarkStart w:id="54" w:name="Xbd137c7549379bc59bd868848e5dfb5b5e4e977"/>
    <w:p>
      <w:pPr>
        <w:pStyle w:val="Heading2"/>
      </w:pPr>
      <w:r>
        <w:t xml:space="preserve">5. Kiểm định độ vững</w:t>
      </w:r>
    </w:p>
    <w:bookmarkStart w:id="49" w:name="X431ee618c3d4d2cdcb5311a37313dcf18ed1464"/>
    <w:p>
      <w:pPr>
        <w:pStyle w:val="Heading3"/>
      </w:pPr>
      <w:r>
        <w:t xml:space="preserve">5.1 Thay đổi thước đo</w:t>
      </w:r>
    </w:p>
    <w:p>
      <w:pPr>
        <w:numPr>
          <w:ilvl w:val="0"/>
          <w:numId w:val="1008"/>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8"/>
        </w:numPr>
        <w:pStyle w:val="Compact"/>
      </w:pPr>
      <w:r>
        <w:t xml:space="preserve">Biến độc lập: thay FSTS bằng export status (binary), foreign sales count.</w:t>
      </w:r>
    </w:p>
    <w:p>
      <w:pPr>
        <w:numPr>
          <w:ilvl w:val="0"/>
          <w:numId w:val="1008"/>
        </w:numPr>
        <w:pStyle w:val="Compact"/>
      </w:pPr>
      <w:r>
        <w:t xml:space="preserve">Biến moderator: thay DAI_thin bằng DAI_rich (cho subset 2024+).</w:t>
      </w:r>
    </w:p>
    <w:bookmarkEnd w:id="49"/>
    <w:bookmarkStart w:id="50" w:name="X9e9ef139d57d7f609b0bd2a30f6aacc57ffda85"/>
    <w:p>
      <w:pPr>
        <w:pStyle w:val="Heading3"/>
      </w:pPr>
      <w:r>
        <w:t xml:space="preserve">5.2 Mẫu phụ</w:t>
      </w:r>
    </w:p>
    <w:p>
      <w:pPr>
        <w:pStyle w:val="FirstParagraph"/>
      </w:pPr>
      <w:r>
        <w:t xml:space="preserve">Loại trừ micro firms (&lt;5 lao động); chỉ giữ SMEs; chỉ giữ manufacturing; chỉ giữ exporters (FSTS &gt; 0); subgroup theo 6 sub-regime ICRV.</w:t>
      </w:r>
    </w:p>
    <w:bookmarkEnd w:id="50"/>
    <w:bookmarkStart w:id="51" w:name="X98cc73fc712d9e44cc5d18b702bb976620f7fc1"/>
    <w:p>
      <w:pPr>
        <w:pStyle w:val="Heading3"/>
      </w:pPr>
      <w:r>
        <w:t xml:space="preserve">5.3 Outliers</w:t>
      </w:r>
    </w:p>
    <w:p>
      <w:pPr>
        <w:pStyle w:val="FirstParagraph"/>
      </w:pPr>
      <w:r>
        <w:t xml:space="preserve">Winsorization 1% và 5% đối với labor productivity và employment, áp dụng trong từng country-year.</w:t>
      </w:r>
    </w:p>
    <w:bookmarkEnd w:id="51"/>
    <w:bookmarkStart w:id="52" w:name="X33d8f36a6a0e8ad3d10f0b0d165a7983b25acc1"/>
    <w:p>
      <w:pPr>
        <w:pStyle w:val="Heading3"/>
      </w:pPr>
      <w:r>
        <w:t xml:space="preserve">5.4 Multicollinearity và heteroscedasticity</w:t>
      </w:r>
    </w:p>
    <w:p>
      <w:pPr>
        <w:numPr>
          <w:ilvl w:val="0"/>
          <w:numId w:val="1009"/>
        </w:numPr>
        <w:pStyle w:val="Compact"/>
      </w:pPr>
      <w:r>
        <w:t xml:space="preserve">VIF cho tất cả mô hình; ngưỡng VIF &lt; 5 (Hair et al., 2019).</w:t>
      </w:r>
    </w:p>
    <w:p>
      <w:pPr>
        <w:numPr>
          <w:ilvl w:val="0"/>
          <w:numId w:val="1009"/>
        </w:numPr>
        <w:pStyle w:val="Compact"/>
      </w:pPr>
      <w:r>
        <w:t xml:space="preserve">Breusch–Pagan test (Breusch &amp; Pagan, 1979).</w:t>
      </w:r>
    </w:p>
    <w:bookmarkEnd w:id="52"/>
    <w:bookmarkStart w:id="53" w:name="X72f2a8f16e87d5c44ffc52bf2b3af577e467955"/>
    <w:p>
      <w:pPr>
        <w:pStyle w:val="Heading3"/>
      </w:pPr>
      <w:r>
        <w:t xml:space="preserve">5.5 Sensitivity analysis cho meta-analysis</w:t>
      </w:r>
    </w:p>
    <w:p>
      <w:pPr>
        <w:numPr>
          <w:ilvl w:val="0"/>
          <w:numId w:val="1010"/>
        </w:numPr>
        <w:pStyle w:val="Compact"/>
      </w:pPr>
      <w:r>
        <w:t xml:space="preserve">Leave-one-out: loại từng nghiên cứu và tái tính pooled effect.</w:t>
      </w:r>
    </w:p>
    <w:p>
      <w:pPr>
        <w:numPr>
          <w:ilvl w:val="0"/>
          <w:numId w:val="1010"/>
        </w:numPr>
        <w:pStyle w:val="Compact"/>
      </w:pPr>
      <w:r>
        <w:t xml:space="preserve">Trim-and-fill (Duval &amp; Tweedie, 2000) cho publication bias.</w:t>
      </w:r>
    </w:p>
    <w:bookmarkEnd w:id="53"/>
    <w:bookmarkEnd w:id="54"/>
    <w:bookmarkStart w:id="55" w:name="Xba1727fc0da4fc8e26a315fbd09b8799e5ac3db"/>
    <w:p>
      <w:pPr>
        <w:pStyle w:val="Heading2"/>
      </w:pPr>
      <w:r>
        <w:t xml:space="preserve">6. Tóm tắt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Đỗ &amp; Phan (2026 — VEFR)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107 country-years</w:t>
            </w:r>
          </w:p>
        </w:tc>
      </w:tr>
      <w:tr>
        <w:tc>
          <w:tcPr/>
          <w:p>
            <w:pPr>
              <w:pStyle w:val="Compact"/>
              <w:jc w:val="left"/>
            </w:pPr>
            <w:r>
              <w:t xml:space="preserve">Labor productivity DV</w:t>
            </w:r>
          </w:p>
        </w:tc>
        <w:tc>
          <w:tcPr/>
          <w:p>
            <w:pPr>
              <w:pStyle w:val="Compact"/>
              <w:jc w:val="left"/>
            </w:pPr>
            <w:r>
              <w:t xml:space="preserve">Bloom et al. (2012); Hsieh &amp; Klenow (2009); Đỗ &amp; Phan (2026 — VEFR)</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Đỗ &amp; Phan (2026 — JFAR)</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(Đỗ &amp; Phan, 2026 — VEFR)</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Đỗ &amp; Phan (2026 — JFAR)</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5"/>
    <w:bookmarkStart w:id="56" w:name="X696efacd1a1ef1aca1868f20b67b10fe2c2b182"/>
    <w:p>
      <w:pPr>
        <w:pStyle w:val="Heading2"/>
      </w:pPr>
      <w:r>
        <w:t xml:space="preserve">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6"/>
    <w:bookmarkEnd w:id="5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2026-05-15T08:09:17Z</dcterms:created>
  <dcterms:modified xsi:type="dcterms:W3CDTF">2026-05-15T08:09:17Z</dcterms:modified>
</cp:coreProperties>
</file>

<file path=docProps/custom.xml><?xml version="1.0" encoding="utf-8"?>
<Properties xmlns="http://schemas.openxmlformats.org/officeDocument/2006/custom-properties" xmlns:vt="http://schemas.openxmlformats.org/officeDocument/2006/docPropsVTypes"/>
</file>