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 Kết quả này tăng cường độ tin cậy của pooled effect và đảm bảo rằng các phát hiện meta-analytic không bị méo mó do hiện tượng chỉ công bố kết quả dương tính.</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có thể phát huy vai trò điều tiết đáng kể trong quá trình quốc tế hóa. Điều này trái ngược với kết quả trong các bối cảnh ICRV thấp hơn (xem mục 4.4 và 4.5), nơi DAI không có ý nghĩa thống kê.</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với</w:t>
      </w:r>
      <w:r>
        <w:t xml:space="preserve"> </w:t>
      </w:r>
      <m:oMath>
        <m:r>
          <m:t>N</m:t>
        </m:r>
        <m:r>
          <m:rPr>
            <m:sty m:val="p"/>
          </m:rPr>
          <m:t>=</m:t>
        </m:r>
        <m:r>
          <m:t>36.137</m:t>
        </m:r>
      </m:oMath>
      <w:r>
        <w:rPr>
          <w:bCs/>
          <w:b/>
        </w:rPr>
        <w:t xml:space="preserve"> </w:t>
      </w:r>
      <w:r>
        <w:rPr>
          <w:bCs/>
          <w:b/>
        </w:rPr>
        <w:t xml:space="preserve">quan sát</w:t>
      </w:r>
      <w:r>
        <w:t xml:space="preserve"> </w:t>
      </w:r>
      <w:r>
        <w:t xml:space="preserve">(sau khi áp dụng bộ lọc nghiêm ngặt — "wstrict filter" loại bỏ các quan sát có missing data hoặc ngoại lệ cực đoan về FSTS). Mô hình M6 với country fixed effects và year fixed effects — cấu hình mạnh nhất về kiểm soát phương sai không quan sát — ước lượng turning point tổng thể (pooled):</w:t>
      </w:r>
    </w:p>
    <w:p>
      <w:pPr>
        <w:pStyle w:val="BodyText"/>
      </w:pPr>
      <m:oMathPara>
        <m:oMathParaPr>
          <m:jc m:val="center"/>
        </m:oMathParaPr>
        <m:oMath>
          <m:r>
            <m:rPr>
              <m:nor/>
              <m:sty m:val="p"/>
            </m:rPr>
            <m:t>TP</m:t>
          </m:r>
          <m:r>
            <m:rPr>
              <m:sty m:val="p"/>
            </m:rPr>
            <m:t>=</m:t>
          </m:r>
          <m:r>
            <m:t>52</m:t>
          </m:r>
          <m:r>
            <m:rPr>
              <m:sty m:val="p"/>
            </m:rPr>
            <m:t>,</m:t>
          </m:r>
          <m:r>
            <m:t>7</m:t>
          </m:r>
          <m:r>
            <m:rPr>
              <m:sty m:val="p"/>
            </m:rPr>
            <m:t>%</m:t>
          </m:r>
          <m:r>
            <m:rPr>
              <m:nor/>
              <m:sty m:val="p"/>
            </m:rPr>
            <m:t> FSTS</m:t>
          </m:r>
        </m:oMath>
      </m:oMathPara>
    </w:p>
    <w:p>
      <w:pPr>
        <w:pStyle w:val="FirstParagraph"/>
      </w:pPr>
      <w:r>
        <w:t xml:space="preserve">Đây là điểm turning point đại diện cho "trung bình gia quyền" theo quy mô mẫu của tất cả các nền kinh tế châu Á trong phạm vi nghiên cứu.</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theo chiều từ nhóm thể chế thấp hơn đến nhóm thể chế cao hơn. Cụ thể:</w:t>
      </w:r>
    </w:p>
    <w:p>
      <w:pPr>
        <w:pStyle w:val="BodyText"/>
      </w:pPr>
      <m:oMathPara>
        <m:oMathParaPr>
          <m:jc m:val="center"/>
        </m:oMathParaPr>
        <m:oMath>
          <m:r>
            <m:rPr>
              <m:nor/>
              <m:sty m:val="p"/>
            </m:rPr>
            <m:t>TP(Advanced Innovation)</m:t>
          </m:r>
          <m:r>
            <m:rPr>
              <m:sty m:val="p"/>
            </m:rPr>
            <m:t>&gt;</m:t>
          </m:r>
          <m:r>
            <m:rPr>
              <m:nor/>
              <m:sty m:val="p"/>
            </m:rPr>
            <m:t>TP(Advanced Resource)</m:t>
          </m:r>
          <m:r>
            <m:rPr>
              <m:sty m:val="p"/>
            </m:rPr>
            <m:t>&gt;</m:t>
          </m:r>
          <m:r>
            <m:rPr>
              <m:nor/>
              <m:sty m:val="p"/>
            </m:rPr>
            <m:t>TP(Upper-middle)</m:t>
          </m:r>
          <m:r>
            <m:rPr>
              <m:sty m:val="p"/>
            </m:rPr>
            <m:t>&gt;</m:t>
          </m:r>
          <m:r>
            <m:rPr>
              <m:nor/>
              <m:sty m:val="p"/>
            </m:rPr>
            <m:t>TP(Emerging/Lower-mid)</m:t>
          </m:r>
        </m:oMath>
      </m:oMathPara>
    </w:p>
    <w:p>
      <w:pPr>
        <w:pStyle w:val="FirstParagraph"/>
      </w:pPr>
      <w:r>
        <w:t xml:space="preserve">Gradient này nhất quán về chiều hướng với dự đoán từ Institutional Theory: môi trường thể chế chất lượng cao giúp doanh nghiệp duy trì tăng trưởng hiệu quả từ quốc tế hóa đến mức độ FSTS cao hơn trước khi chi phí phối hợp và bất định vượt qua lợi ích.</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w:t>
      </w:r>
      <m:oMath>
        <m:r>
          <m:t>p</m:t>
        </m:r>
        <m:r>
          <m:rPr>
            <m:sty m:val="p"/>
          </m:rPr>
          <m:t>&lt;</m:t>
        </m:r>
        <m:r>
          <m:rPr>
            <m:sty m:val="p"/>
          </m:rPr>
          <m:t>,</m:t>
        </m:r>
        <m:r>
          <m:t>05</m:t>
        </m:r>
      </m:oMath>
      <w:r>
        <w:t xml:space="preserve">), xác nhận H2.</w:t>
      </w:r>
    </w:p>
    <w:p>
      <w:pPr>
        <w:numPr>
          <w:ilvl w:val="0"/>
          <w:numId w:val="1003"/>
        </w:numPr>
        <w:pStyle w:val="Compact"/>
      </w:pPr>
      <w:r>
        <w:rPr>
          <w:bCs/>
          <w:b/>
        </w:rPr>
        <w:t xml:space="preserve">DAI</w:t>
      </w:r>
      <w:r>
        <w:t xml:space="preserve">: có ý nghĩa trong nhóm Advanced (Nhóm I và II), nhưng</w:t>
      </w:r>
      <w:r>
        <w:t xml:space="preserve"> </w:t>
      </w:r>
      <w:r>
        <w:rPr>
          <w:bCs/>
          <w:b/>
        </w:rPr>
        <w:t xml:space="preserve">không có ý nghĩa</w:t>
      </w:r>
      <w:r>
        <w:t xml:space="preserve"> </w:t>
      </w:r>
      <w:r>
        <w:t xml:space="preserve">trong nhóm Frontier (Nhóm V) và SIDS (Nhóm VI). Kết quả này nhất quán với lập luận lý thuyết rằng DAI chỉ phát huy vai trò điều tiết khi cơ sở hạ tầng số và hệ sinh thái số đã đủ trưởng thành để hỗ trợ doanh nghiệp trong quá trình quốc tế hóa.</w:t>
      </w:r>
    </w:p>
    <w:p>
      <w:pPr>
        <w:pStyle w:val="FirstParagraph"/>
      </w:pPr>
      <w:r>
        <w:t xml:space="preserve">Kết quả P7 vì vậy cung cấp bức tranh tổng thể quan trọng: vai trò của digital capability trong quan hệ I→P là</w:t>
      </w:r>
      <w:r>
        <w:t xml:space="preserve"> </w:t>
      </w:r>
      <w:r>
        <w:rPr>
          <w:bCs/>
          <w:b/>
        </w:rPr>
        <w:t xml:space="preserve">có điều kiện theo ICRV</w:t>
      </w:r>
      <w:r>
        <w:t xml:space="preserve"> </w:t>
      </w:r>
      <w:r>
        <w:t xml:space="preserve">— không phải hiệu ứng phổ quát cho tất cả bối cảnh.</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Hình phạt quốc tế hóa cưỡng ép.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cưỡng ép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tại Việt Nam (M6), và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một phần: chỉ có ý nghĩa tại Singapore và nhóm Advanced trong P7; null tại Việt Nam (Tier-1 only) và Frontier/SIDS</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36.137</m:t>
        </m:r>
      </m:oMath>
      <w:r>
        <w:t xml:space="preserve">) — đều chỉ đến cùng một kết luận: turning point của quan hệ I→P tăng dần theo chiều từ SIDS/Frontier lên Emerging, Upper-middle, Advanced Resource, và Advanced Innovation.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DAI chỉ phát huy vai trò điều tiết có ý nghĩa tại Singapore (P4, với DAI Tier-1+2) và trong nhóm Advanced tại P7 — tức là trong các bối cảnh ICRV nơi cơ sở hạ tầng số và hệ sinh thái số đã đủ trưởng thành. Tại các bối cảnh ICRV thấp hơn (Việt Nam P3, Frontier, SIDS trong P7), DAI không đạt ý nghĩa thống kê.</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DAI chỉ phát huy "digital shield effect" khi nền tảng thể chế hỗ trợ đã có sẵn.</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chỉ phát huy vai trò điều tiết trong bối cảnh Advanced (Nhóm I, II) và không có ý nghĩa trong Frontier/SIDS gợi ý rằng DAI không phải là foundational capability (như TCI) mà là</w:t>
      </w:r>
      <w:r>
        <w:t xml:space="preserve"> </w:t>
      </w:r>
      <w:r>
        <w:rPr>
          <w:bCs/>
          <w:b/>
        </w:rPr>
        <w:t xml:space="preserve">situational resource</w:t>
      </w:r>
      <w:r>
        <w:t xml:space="preserve"> </w:t>
      </w:r>
      <w:r>
        <w:t xml:space="preserve">— tài nguyên có điều kiện phụ thuộc vào hệ sinh thái số xung quanh.</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complementary asset</w:t>
      </w:r>
      <w:r>
        <w:t xml:space="preserve"> </w:t>
      </w:r>
      <w:r>
        <w:t xml:space="preserve">(Teece, 1986) cần đi kèm với cơ sở hạ tầng thể chế và số phù hợp. Không có complementary assets, DAI chỉ là chi phí bổ sung mà không tạo ra lợi thế.</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phát hiện và đặt tên cho</w:t>
      </w:r>
      <w:r>
        <w:t xml:space="preserve"> </w:t>
      </w:r>
      <w:r>
        <w:rPr>
          <w:bCs/>
          <w:b/>
        </w:rPr>
        <w:t xml:space="preserve">Forced Internationalization Penalty (FIP)</w:t>
      </w:r>
      <w:r>
        <w:t xml:space="preserve"> </w:t>
      </w:r>
      <w:r>
        <w:t xml:space="preserve">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cưỡng ép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 tăng đơn điệu theo chiều từ SIDS lên Advanced Innovation,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88ceb97bc68576a7606cd223b6367e4d952191f"/>
    <w:p>
      <w:pPr>
        <w:pStyle w:val="Heading3"/>
      </w:pPr>
      <w:r>
        <w:t xml:space="preserve">5.4.3 Hàm ý đặc biệt cho SIDS — Tránh Bẫy Quốc Tế Hóa Cưỡng Ép</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cưỡng ép"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6"/>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6"/>
        </w:numPr>
      </w:pPr>
      <w:r>
        <w:rPr>
          <w:bCs/>
          <w:b/>
        </w:rPr>
        <w:t xml:space="preserve">P7</w:t>
      </w:r>
      <w:r>
        <w:t xml:space="preserve"> </w:t>
      </w:r>
      <w:r>
        <w:t xml:space="preserve">(bản thảo đang chuẩn bị, Đỗ &amp; Phan, 2026): kiểm định toàn mẫu châu Á</w:t>
      </w:r>
      <w:r>
        <w:t xml:space="preserve"> </w:t>
      </w:r>
      <m:oMath>
        <m:r>
          <m:t>N</m:t>
        </m:r>
        <m:r>
          <m:rPr>
            <m:sty m:val="p"/>
          </m:rPr>
          <m:t>=</m:t>
        </m:r>
        <m:r>
          <m:t>36.137</m:t>
        </m:r>
      </m:oMath>
      <w:r>
        <w:t xml:space="preserve">, TP = 52,7%, gradient ICRV xác nhận, TCI dương và có ý nghĩa, DAI chỉ có ý nghĩa trong Advanced.</w:t>
      </w:r>
    </w:p>
    <w:p>
      <w:pPr>
        <w:numPr>
          <w:ilvl w:val="0"/>
          <w:numId w:val="1006"/>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hình phạt hiệu quả thay vì lợi ích."</w:t>
      </w:r>
    </w:p>
    <w:p>
      <w:pPr>
        <w:pStyle w:val="FirstParagraph"/>
      </w:pPr>
      <w:r>
        <w:t xml:space="preserve">Bằng chứng từ 235 nghiên cứu và 36.137 doanh nghiệp ở 47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tăng dần của chất lượng thể chế theo ICRV.</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cưỡng ép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2026-05-15T08:09:17Z</dcterms:created>
  <dcterms:modified xsi:type="dcterms:W3CDTF">2026-05-15T08:09:17Z</dcterms:modified>
</cp:coreProperties>
</file>

<file path=docProps/custom.xml><?xml version="1.0" encoding="utf-8"?>
<Properties xmlns="http://schemas.openxmlformats.org/officeDocument/2006/custom-properties" xmlns:vt="http://schemas.openxmlformats.org/officeDocument/2006/docPropsVTypes"/>
</file>