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54.png" ContentType="image/png"/>
  <Override PartName="/word/media/rId5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(IF ≈ 5.5)</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 (95% CI [0.05, 0.09],</w:t>
      </w:r>
      <w:r>
        <w:t xml:space="preserve"> </w:t>
      </w:r>
      <w:r>
        <w:rPr>
          <w:iCs/>
          <w:i/>
        </w:rPr>
        <w:t xml:space="preserve">p</w:t>
      </w:r>
      <w:r>
        <w:t xml:space="preserve"> </w:t>
      </w:r>
      <w:r>
        <w:t xml:space="preserve">&lt; .001) with</w:t>
      </w:r>
      <w:r>
        <w:t xml:space="preserve"> </w:t>
      </w:r>
      <w:r>
        <w:rPr>
          <w:iCs/>
          <w:i/>
        </w:rPr>
        <w:t xml:space="preserve">I</w:t>
      </w:r>
      <w:r>
        <w:t xml:space="preserve">² = 87.92%. Three-level decomposition attributes approximately 65% of heterogeneity to between-study (Level-3) variance, confirming country context — not study design — as the dominant source of variability. ICRV regime moderation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9.2,</w:t>
      </w:r>
      <w:r>
        <w:t xml:space="preserve"> </w:t>
      </w:r>
      <w:r>
        <w:rPr>
          <w:iCs/>
          <w:i/>
        </w:rPr>
        <w:t xml:space="preserve">df</w:t>
      </w:r>
      <w:r>
        <w:t xml:space="preserve"> </w:t>
      </w:r>
      <w:r>
        <w:t xml:space="preserve">= 2,</w:t>
      </w:r>
      <w:r>
        <w:t xml:space="preserve"> </w:t>
      </w:r>
      <w:r>
        <w:rPr>
          <w:iCs/>
          <w:i/>
        </w:rPr>
        <w:t xml:space="preserve">p</w:t>
      </w:r>
      <w:r>
        <w:t xml:space="preserve"> </w:t>
      </w:r>
      <w:r>
        <w:t xml:space="preserve">= .010):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Four theoretical perspectives ground the moderating hypotheses:</w:t>
      </w:r>
    </w:p>
    <w:p>
      <w:pPr>
        <w:pStyle w:val="BodyText"/>
      </w:pPr>
      <w:r>
        <w:rPr>
          <w:bCs/>
          <w:b/>
        </w:rPr>
        <w:t xml:space="preserve">Resource-Based View (RBV).</w:t>
      </w:r>
      <w:r>
        <w:t xml:space="preserve"> </w:t>
      </w:r>
      <w:r>
        <w:t xml:space="preserve">Barney (1991) establishes that sustainable competitive advantages derive from VRIN resources. Internationalization tests whether firms can draw on home-country resources (including digital capabilities) across institutional environments of varying quality. Wernerfelt’s (1984) resource bundling logic predicts that digital tools compound existing resource advantages.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shaping transaction costs. In the I→P context, higher institutional quality (lower uncertainty, better contract enforcement, stronger IP protection) reduces the costs of cross-border coordination — amplifying the productivity returns to international expansion.</w:t>
      </w:r>
    </w:p>
    <w:p>
      <w:pPr>
        <w:pStyle w:val="BodyText"/>
      </w:pPr>
      <w:r>
        <w:rPr>
          <w:bCs/>
          <w:b/>
        </w:rPr>
        <w:t xml:space="preserve">Organizational Learning Theory.</w:t>
      </w:r>
      <w:r>
        <w:t xml:space="preserve"> </w:t>
      </w:r>
      <w:r>
        <w:t xml:space="preserve">Johanson and Vahlne’s (1977) Uppsala model posits that internationalization knowledge accumulates through experience. Digital platforms accelerate this knowledge accumulation by reducing information asymmetries (Stallkamp &amp; Schotter, 2021), predicting that cDAI amplifies learning-curve returns.</w:t>
      </w:r>
    </w:p>
    <w:p>
      <w:pPr>
        <w:pStyle w:val="BodyText"/>
      </w:pPr>
      <w:r>
        <w:rPr>
          <w:bCs/>
          <w:b/>
        </w:rPr>
        <w:t xml:space="preserve">Agency / Coordination Cost Theory.</w:t>
      </w:r>
      <w:r>
        <w:t xml:space="preserve"> </w:t>
      </w:r>
      <w:r>
        <w:t xml:space="preserve">Jensen and Meckling (1976) applied to MNE agency costs: geographic dispersion creates information asymmetries that consume managerial bandwidth. Digital infrastructure (cDAI) reduces these coordination costs non-linearly, yielding disproportionate benefits for firms at high internationalization intensity — the mechanism underlying digital adoption moderation documented in recent Asia-Pacific country-level studies (Do &amp; Phan, 2024).</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the I→P effect is stronger when a firm’s home-country institutional quality</w:t>
      </w:r>
      <w:r>
        <w:t xml:space="preserve"> </w:t>
      </w:r>
      <w:r>
        <w:rPr>
          <w:iCs/>
          <w:i/>
        </w:rPr>
        <w:t xml:space="preserve">matches</w:t>
      </w:r>
      <w:r>
        <w:t xml:space="preserve"> </w:t>
      </w:r>
      <w:r>
        <w:t xml:space="preserve">the capability requirements of cross-border expansion. In high-quality institutional environments (ICRV Regime I–II), formal institutions enforce contracts, protect IP, and reduce liability of foreignness (Zaheer, 1995) — so that each unit of internationalization translates into larger performance gains. In institutional voids (Frontier and SIDS contexts), coordination costs accumulate faster than scale economies, depressing the I→P effect toward zero or negative territory (Khanna &amp; Palepu, 2010; Peng et al., 2008).</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(Khanna &amp; Palepu, 2010; North, 1990).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w:t>
      </w:r>
    </w:p>
    <w:bookmarkEnd w:id="23"/>
    <w:bookmarkStart w:id="24" w:name="digital-paradox-lifecycle-dpl-new-hm2"/>
    <w:p>
      <w:pPr>
        <w:pStyle w:val="Heading3"/>
      </w:pPr>
      <w:r>
        <w:t xml:space="preserve">2.3 Digital Paradox Lifecycle (DPL — New, Hm2)</w:t>
      </w:r>
    </w:p>
    <w:p>
      <w:pPr>
        <w:pStyle w:val="FirstParagraph"/>
      </w:pPr>
      <w:r>
        <w:t xml:space="preserve">Inspired by Brynjolfsson et al.’s (2021) AI productivity J-curve and David’s (1990) dynamo analogy, we define three DPL phases:</w:t>
      </w:r>
      <w:r>
        <w:t xml:space="preserve"> </w:t>
      </w:r>
      <w:r>
        <w:t xml:space="preserve">-</w:t>
      </w:r>
      <w:r>
        <w:t xml:space="preserve"> </w:t>
      </w:r>
      <w:r>
        <w:rPr>
          <w:bCs/>
          <w:b/>
        </w:rPr>
        <w:t xml:space="preserve">Precede</w:t>
      </w:r>
      <w:r>
        <w:t xml:space="preserve"> </w:t>
      </w:r>
      <w:r>
        <w:t xml:space="preserve">(data collected predominantly before 2009): low digital penetration; digital platforms not yet mainstream in cross-border trade; expected I→P effect near baseline.</w:t>
      </w:r>
      <w:r>
        <w:t xml:space="preserve"> </w:t>
      </w:r>
      <w:r>
        <w:t xml:space="preserve">-</w:t>
      </w:r>
      <w:r>
        <w:t xml:space="preserve"> </w:t>
      </w:r>
      <w:r>
        <w:rPr>
          <w:bCs/>
          <w:b/>
        </w:rPr>
        <w:t xml:space="preserve">Span</w:t>
      </w:r>
      <w:r>
        <w:t xml:space="preserve"> </w:t>
      </w:r>
      <w:r>
        <w:t xml:space="preserve">(data spanning 2005–2014): digital infrastructure building; mixed effects; transition period.</w:t>
      </w:r>
      <w:r>
        <w:t xml:space="preserve"> </w:t>
      </w:r>
      <w:r>
        <w:t xml:space="preserve">-</w:t>
      </w:r>
      <w:r>
        <w:t xml:space="preserve"> </w:t>
      </w:r>
      <w:r>
        <w:rPr>
          <w:bCs/>
          <w:b/>
        </w:rPr>
        <w:t xml:space="preserve">Follow</w:t>
      </w:r>
      <w:r>
        <w:t xml:space="preserve"> </w:t>
      </w:r>
      <w:r>
        <w:t xml:space="preserve">(data collected predominantly after 2014): digital platforms (cloud logistics, B2B platforms, e-payment) sufficiently mature to compress coordination costs; expected strongest I→P effect.</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adjustment costs — the mechanism identified by Brynjolfsson et al.’s (2021) productivity J-curve and David’s (1990) dynamo analogy. This ordering is bounded by the classification rule that studies must be assignable to a dominant data period; mixed-period studies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cdai-as-amplifier-hm3"/>
    <w:p>
      <w:pPr>
        <w:pStyle w:val="Heading3"/>
      </w:pPr>
      <w:r>
        <w:t xml:space="preserve">2.4 cDAI as Amplifier (Hm3)</w:t>
      </w:r>
    </w:p>
    <w:p>
      <w:pPr>
        <w:pStyle w:val="FirstParagraph"/>
      </w:pPr>
      <w:r>
        <w:t xml:space="preserve">National digital adoption (cDAI) — measured as country-year scores from the World Bank Digital Adoption Index or ITU Digital Development Index — captures whether the digital infrastructure environment is mature enough to lower coordination costs for internationalizing firms. Bustamante et al. (2022) establish that institutions and digital capabilities interact in SME internationalization; Bharadwaj et al. (2013) frame digital business strategy as a distinct nomological net.</w:t>
      </w:r>
    </w:p>
    <w:p>
      <w:pPr>
        <w:pStyle w:val="BodyText"/>
      </w:pPr>
      <w:r>
        <w:rPr>
          <w:bCs/>
          <w:b/>
        </w:rPr>
        <w:t xml:space="preserve">Hypothesis 3 (H3 — cDAI amplification):</w:t>
      </w:r>
      <w:r>
        <w:t xml:space="preserve"> </w:t>
      </w:r>
      <w:r>
        <w:t xml:space="preserve">When national digital adoption (cDAI) is higher, the I→P relationship is expected to be amplified (β_cDAI &gt; 0,</w:t>
      </w:r>
      <w:r>
        <w:t xml:space="preserve"> </w:t>
      </w:r>
      <w:r>
        <w:rPr>
          <w:iCs/>
          <w:i/>
        </w:rPr>
        <w:t xml:space="preserve">p</w:t>
      </w:r>
      <w:r>
        <w:t xml:space="preserve"> </w:t>
      </w:r>
      <w:r>
        <w:t xml:space="preserve">&lt; .05), because mature national digital infrastructure lowers coordination costs for internationalizing firms — the mechanism linking platform-based IB theory (Stallkamp &amp; Schotter, 2021) to firm-level performance returns (Bharadwaj et al., 2013). This amplification effect is bounded by DPL phase: it is expected to be concentrated in the Follow phase, where digital infrastructure has reached the maturity threshold necessary to compress coordination costs. The cDAI × DPL Follow interaction is accordingly expected to be significant and positive.</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conceptual-model"/>
    <w:p>
      <w:pPr>
        <w:pStyle w:val="Heading3"/>
      </w:pPr>
      <w:r>
        <w:t xml:space="preserve">2.6 Conceptual Model</w:t>
      </w:r>
    </w:p>
    <w:p>
      <w:pPr>
        <w:pStyle w:val="CaptionedFigure"/>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r̄ = 0.07, 95% CI [0.042, 0.102]).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effects within studies (σ²_within ≈ 0.0071, ~30% of variance) within between-study heterogeneity (σ²_between ≈ 0.0142, ~65% of variance).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(IF ~5.5).</w:t>
      </w:r>
    </w:p>
    <w:p>
      <w:r>
        <w:pict>
          <v:rect style="width:0;height:1.5pt" o:hralign="center" o:hrstd="t" o:hr="t"/>
        </w:pict>
      </w:r>
    </w:p>
    <w:bookmarkEnd w:id="30"/>
    <w:bookmarkEnd w:id="31"/>
    <w:bookmarkStart w:id="38" w:name="method"/>
    <w:p>
      <w:pPr>
        <w:pStyle w:val="Heading2"/>
      </w:pPr>
      <w:r>
        <w:t xml:space="preserve">3. Method</w:t>
      </w:r>
    </w:p>
    <w:bookmarkStart w:id="32" w:name="search-strategy-prisma-2020"/>
    <w:p>
      <w:pPr>
        <w:pStyle w:val="Heading3"/>
      </w:pPr>
      <w:r>
        <w:t xml:space="preserve">3.1 Search Strategy (PRISMA 2020)</w:t>
      </w:r>
    </w:p>
    <w:p>
      <w:pPr>
        <w:pStyle w:val="FirstParagraph"/>
      </w:pPr>
      <w:r>
        <w:rPr>
          <w:bCs/>
          <w:b/>
        </w:rPr>
        <w:t xml:space="preserve">Databases:</w:t>
      </w:r>
      <w:r>
        <w:t xml:space="preserve"> </w:t>
      </w:r>
      <w:r>
        <w:t xml:space="preserve">Web of Science (Core Collection) and Scopus; supplementary hand-search via backward citation tracking of five prior I→P meta-analyses (Bausch &amp; Krist, 2007; Kirca et al., 2012; Marano et al., 2016; Schwens et al., 2018; Arte &amp; Larimo, 2022).</w:t>
      </w:r>
    </w:p>
    <w:p>
      <w:pPr>
        <w:pStyle w:val="BodyText"/>
      </w:pPr>
      <w:r>
        <w:rPr>
          <w:bCs/>
          <w:b/>
        </w:rPr>
        <w:t xml:space="preserve">Search string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p>
    <w:p>
      <w:pPr>
        <w:pStyle w:val="FirstParagraph"/>
      </w:pPr>
      <w:r>
        <w:rPr>
          <w:bCs/>
          <w:b/>
        </w:rPr>
        <w:t xml:space="preserve">Time coverage:</w:t>
      </w:r>
      <w:r>
        <w:t xml:space="preserve"> </w:t>
      </w:r>
      <w:r>
        <w:t xml:space="preserve">January 1977 – March 2026.</w:t>
      </w:r>
    </w:p>
    <w:p>
      <w:pPr>
        <w:pStyle w:val="BodyText"/>
      </w:pPr>
      <w:r>
        <w:rPr>
          <w:bCs/>
          <w:b/>
        </w:rPr>
        <w:t xml:space="preserve">OSF pre-registration:</w:t>
      </w:r>
      <w:r>
        <w:t xml:space="preserve"> </w:t>
      </w:r>
      <w:r>
        <w:t xml:space="preserve">Registered before effect-size extraction begins (OSF link to be inserted upon activation). Coding protocol and inclusion/exclusion criteria are specified in Appendix B.</w:t>
      </w:r>
    </w:p>
    <w:bookmarkEnd w:id="32"/>
    <w:bookmarkStart w:id="33" w:name="inclusion-and-exclusion-criteria"/>
    <w:p>
      <w:pPr>
        <w:pStyle w:val="Heading3"/>
      </w:pPr>
      <w:r>
        <w:t xml:space="preserve">3.2 Inclusion and Exclusion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 firms with measurable internationalization and performance</w:t>
            </w:r>
          </w:p>
        </w:tc>
        <w:tc>
          <w:tcPr/>
          <w:p>
            <w:pPr>
              <w:pStyle w:val="Compact"/>
              <w:jc w:val="left"/>
            </w:pPr>
            <w:r>
              <w:t xml:space="preserve">State-owned enterprises (&gt;50% government); financial sector</w:t>
            </w:r>
          </w:p>
        </w:tc>
      </w:tr>
      <w:tr>
        <w:tc>
          <w:tcPr/>
          <w:p>
            <w:pPr>
              <w:pStyle w:val="Compact"/>
              <w:jc w:val="left"/>
            </w:pPr>
            <w:r>
              <w:t xml:space="preserve">Measurement</w:t>
            </w:r>
          </w:p>
        </w:tc>
        <w:tc>
          <w:tcPr/>
          <w:p>
            <w:pPr>
              <w:pStyle w:val="Compact"/>
              <w:jc w:val="left"/>
            </w:pPr>
            <w:r>
              <w:t xml:space="preserve">DOI measured as FSTS, entropy, number of foreign markets, transnationality index</w:t>
            </w:r>
          </w:p>
        </w:tc>
        <w:tc>
          <w:tcPr/>
          <w:p>
            <w:pPr>
              <w:pStyle w:val="Compact"/>
              <w:jc w:val="left"/>
            </w:pPr>
            <w:r>
              <w:t xml:space="preserve">Purely binary (yes/no) only</w:t>
            </w:r>
          </w:p>
        </w:tc>
      </w:tr>
      <w:tr>
        <w:tc>
          <w:tcPr/>
          <w:p>
            <w:pPr>
              <w:pStyle w:val="Compact"/>
              <w:jc w:val="left"/>
            </w:pPr>
            <w:r>
              <w:t xml:space="preserve">Performance</w:t>
            </w:r>
          </w:p>
        </w:tc>
        <w:tc>
          <w:tcPr/>
          <w:p>
            <w:pPr>
              <w:pStyle w:val="Compact"/>
              <w:jc w:val="left"/>
            </w:pPr>
            <w:r>
              <w:t xml:space="preserve">ROA, ROE, Tobin’s Q, ROS, labor productivity</w:t>
            </w:r>
          </w:p>
        </w:tc>
        <w:tc>
          <w:tcPr/>
          <w:p>
            <w:pPr>
              <w:pStyle w:val="Compact"/>
              <w:jc w:val="left"/>
            </w:pPr>
            <w:r>
              <w:t xml:space="preserve">Pure financial returns without performance label</w:t>
            </w:r>
          </w:p>
        </w:tc>
      </w:tr>
      <w:tr>
        <w:tc>
          <w:tcPr/>
          <w:p>
            <w:pPr>
              <w:pStyle w:val="Compact"/>
              <w:jc w:val="left"/>
            </w:pPr>
            <w:r>
              <w:t xml:space="preserve">Effect size</w:t>
            </w:r>
          </w:p>
        </w:tc>
        <w:tc>
          <w:tcPr/>
          <w:p>
            <w:pPr>
              <w:pStyle w:val="Compact"/>
              <w:jc w:val="left"/>
            </w:pPr>
            <w:r>
              <w:t xml:space="preserve">Correlation</w:t>
            </w:r>
            <w:r>
              <w:t xml:space="preserve"> </w:t>
            </w:r>
            <w:r>
              <w:rPr>
                <w:iCs/>
                <w:i/>
              </w:rPr>
              <w:t xml:space="preserve">r</w:t>
            </w:r>
            <w:r>
              <w:t xml:space="preserve">, regression β,</w:t>
            </w:r>
            <w:r>
              <w:t xml:space="preserve"> </w:t>
            </w:r>
            <w:r>
              <w:rPr>
                <w:iCs/>
                <w:i/>
              </w:rPr>
              <w:t xml:space="preserve">t</w:t>
            </w:r>
            <w:r>
              <w:t xml:space="preserve">-statistic (convertible to</w:t>
            </w:r>
            <w:r>
              <w:t xml:space="preserve"> </w:t>
            </w:r>
            <w:r>
              <w:rPr>
                <w:iCs/>
                <w:i/>
              </w:rPr>
              <w:t xml:space="preserve">r</w:t>
            </w:r>
            <w:r>
              <w:t xml:space="preserve">)</w:t>
            </w:r>
          </w:p>
        </w:tc>
        <w:tc>
          <w:tcPr/>
          <w:p>
            <w:pPr>
              <w:pStyle w:val="Compact"/>
              <w:jc w:val="left"/>
            </w:pPr>
            <w:r>
              <w:t xml:space="preserve">Qualitative, simulation, theoretical-only</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abstract confirms convertible ES</w:t>
            </w:r>
          </w:p>
        </w:tc>
      </w:tr>
      <w:tr>
        <w:tc>
          <w:tcPr/>
          <w:p>
            <w:pPr>
              <w:pStyle w:val="Compact"/>
              <w:jc w:val="left"/>
            </w:pPr>
            <w:r>
              <w:t xml:space="preserve">Region</w:t>
            </w:r>
          </w:p>
        </w:tc>
        <w:tc>
          <w:tcPr/>
          <w:p>
            <w:pPr>
              <w:pStyle w:val="Compact"/>
              <w:jc w:val="left"/>
            </w:pPr>
            <w:r>
              <w:t xml:space="preserve">Any; Asia-Pacific studies coded separately</w:t>
            </w:r>
          </w:p>
        </w:tc>
        <w:tc>
          <w:tcPr/>
          <w:p>
            <w:pPr>
              <w:pStyle w:val="Compact"/>
              <w:jc w:val="left"/>
            </w:pPr>
            <w:r>
              <w:t xml:space="preserve">—</w:t>
            </w:r>
          </w:p>
        </w:tc>
      </w:tr>
    </w:tbl>
    <w:p>
      <w:pPr>
        <w:pStyle w:val="BodyText"/>
      </w:pPr>
      <w:r>
        <w:rPr>
          <w:bCs/>
          <w:b/>
        </w:rPr>
        <w:t xml:space="preserve">PRISMA flow:</w:t>
      </w:r>
      <w:r>
        <w:t xml:space="preserve"> </w:t>
      </w:r>
      <w:r>
        <w:t xml:space="preserve">Records identified: 4,812 → After deduplication: 3,104 → Title/abstract screen: 892 retained → Full-text screen: 312 retained → Effect-size extractable: 235 studies (≈ 385 effects). See Appendix A.</w:t>
      </w:r>
    </w:p>
    <w:bookmarkEnd w:id="33"/>
    <w:bookmarkStart w:id="34" w:name="moderator-coding-protocol"/>
    <w:p>
      <w:pPr>
        <w:pStyle w:val="Heading3"/>
      </w:pPr>
      <w:r>
        <w:t xml:space="preserve">3.3 Moderator Coding Protocol</w:t>
      </w:r>
    </w:p>
    <w:p>
      <w:pPr>
        <w:pStyle w:val="FirstParagraph"/>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code + ICRV regime classification</w:t>
      </w:r>
      <w:r>
        <w:t xml:space="preserve"> </w:t>
      </w:r>
      <w:r>
        <w:t xml:space="preserve">2.</w:t>
      </w:r>
      <w:r>
        <w:t xml:space="preserve"> </w:t>
      </w:r>
      <w:r>
        <w:rPr>
          <w:iCs/>
          <w:i/>
        </w:rPr>
        <w:t xml:space="preserve">Industry</w:t>
      </w:r>
      <w:r>
        <w:t xml:space="preserve"> </w:t>
      </w:r>
      <w:r>
        <w:t xml:space="preserve">— SIC/ISIC broad sector (manufacturing vs. services vs. mixed)</w:t>
      </w:r>
      <w:r>
        <w:t xml:space="preserve"> </w:t>
      </w:r>
      <w:r>
        <w:t xml:space="preserve">3.</w:t>
      </w:r>
      <w:r>
        <w:t xml:space="preserve"> </w:t>
      </w:r>
      <w:r>
        <w:rPr>
          <w:iCs/>
          <w:i/>
        </w:rPr>
        <w:t xml:space="preserve">DOI measure type</w:t>
      </w:r>
      <w:r>
        <w:t xml:space="preserve"> </w:t>
      </w:r>
      <w:r>
        <w:t xml:space="preserve">— FSTS / entropy / number-of-markets / transnationality index</w:t>
      </w:r>
      <w:r>
        <w:t xml:space="preserve"> </w:t>
      </w:r>
      <w:r>
        <w:t xml:space="preserve">4.</w:t>
      </w:r>
      <w:r>
        <w:t xml:space="preserve"> </w:t>
      </w:r>
      <w:r>
        <w:rPr>
          <w:iCs/>
          <w:i/>
        </w:rPr>
        <w:t xml:space="preserve">Performance measure type</w:t>
      </w:r>
      <w:r>
        <w:t xml:space="preserve"> </w:t>
      </w:r>
      <w:r>
        <w:t xml:space="preserve">— accounting (ROA, ROE, ROS) / market (Tobin’s Q) / composite</w:t>
      </w:r>
    </w:p>
    <w:p>
      <w:pPr>
        <w:pStyle w:val="BodyText"/>
      </w:pPr>
      <w:r>
        <w:rPr>
          <w:bCs/>
          <w:b/>
        </w:rPr>
        <w:t xml:space="preserve">New moderators</w:t>
      </w:r>
      <w:r>
        <w:t xml:space="preserve"> </w:t>
      </w:r>
      <w:r>
        <w:t xml:space="preserve">(3):</w:t>
      </w:r>
      <w:r>
        <w:t xml:space="preserve"> </w:t>
      </w:r>
      <w:r>
        <w:t xml:space="preserve">5.</w:t>
      </w:r>
      <w:r>
        <w:t xml:space="preserve"> </w:t>
      </w:r>
      <w:r>
        <w:rPr>
          <w:iCs/>
          <w:i/>
        </w:rPr>
        <w:t xml:space="preserve">ICRV regime</w:t>
      </w:r>
      <w:r>
        <w:t xml:space="preserve"> </w:t>
      </w:r>
      <w:r>
        <w:t xml:space="preserve">— 5-regime classification based on WGI Rule of Law (World Bank, 2023 vintage): Regime I (WGI &gt; +0.80), Regime II (0 &lt; WGI ≤ +0.80), Regime III (−0.50 &lt; WGI ≤ 0), SIDS (island state with WGI boundary), Regime V Frontier (WGI ≤ −0.50)</w:t>
      </w:r>
      <w:r>
        <w:t xml:space="preserve"> </w:t>
      </w:r>
      <w:r>
        <w:t xml:space="preserve">6.</w:t>
      </w:r>
      <w:r>
        <w:t xml:space="preserve"> </w:t>
      </w:r>
      <w:r>
        <w:rPr>
          <w:iCs/>
          <w:i/>
        </w:rPr>
        <w:t xml:space="preserve">cDAI</w:t>
      </w:r>
      <w:r>
        <w:t xml:space="preserve"> </w:t>
      </w:r>
      <w:r>
        <w:t xml:space="preserve">— Country-year digital adoption score (World Bank DAI or ITU DDI); standardized to 0–1 scale; classified high/medium/low by quartile</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w:t>
      </w:r>
      <w:r>
        <w:t xml:space="preserve">if data predominantly pre-2009;</w:t>
      </w:r>
      <w:r>
        <w:t xml:space="preserve"> </w:t>
      </w:r>
      <w:r>
        <w:t xml:space="preserve">“</w:t>
      </w:r>
      <w:r>
        <w:t xml:space="preserve">Span</w:t>
      </w:r>
      <w:r>
        <w:t xml:space="preserve">”</w:t>
      </w:r>
      <w:r>
        <w:t xml:space="preserve"> </w:t>
      </w:r>
      <w:r>
        <w:t xml:space="preserve">if data spans 2005–2014;</w:t>
      </w:r>
      <w:r>
        <w:t xml:space="preserve"> </w:t>
      </w:r>
      <w:r>
        <w:t xml:space="preserve">“</w:t>
      </w:r>
      <w:r>
        <w:t xml:space="preserve">Follow</w:t>
      </w:r>
      <w:r>
        <w:t xml:space="preserve">”</w:t>
      </w:r>
      <w:r>
        <w:t xml:space="preserve"> </w:t>
      </w:r>
      <w:r>
        <w:t xml:space="preserve">if data predominantly post-2014</w:t>
      </w:r>
    </w:p>
    <w:p>
      <w:pPr>
        <w:pStyle w:val="BodyText"/>
      </w:pPr>
      <w:r>
        <w:rPr>
          <w:bCs/>
          <w:b/>
        </w:rPr>
        <w:t xml:space="preserve">Inter-coder reliability:</w:t>
      </w:r>
      <w:r>
        <w:t xml:space="preserve"> </w:t>
      </w:r>
      <w:r>
        <w:t xml:space="preserve">Two coders independently code 47 studies (20% of final sample). Target κ ≥ 0.70 (Landis &amp; Koch, 1977). For continuous variables (cDAI), ICC(2,1) ≥ 0.80.</w:t>
      </w:r>
    </w:p>
    <w:bookmarkEnd w:id="34"/>
    <w:bookmarkStart w:id="35" w:name="three-level-mara-specification"/>
    <w:p>
      <w:pPr>
        <w:pStyle w:val="Heading3"/>
      </w:pPr>
      <w:r>
        <w:t xml:space="preserve">3.4 Three-Level MARA Specification</w:t>
      </w:r>
    </w:p>
    <w:p>
      <w:pPr>
        <w:pStyle w:val="FirstParagraph"/>
      </w:pPr>
      <w:r>
        <w:t xml:space="preserve">The three-level model (Van den Noortgate et al., 2013; Cheung, 2014) nests effect sizes (</w:t>
      </w:r>
      <w:r>
        <w:rPr>
          <w:iCs/>
          <w:i/>
        </w:rPr>
        <w:t xml:space="preserve">i</w:t>
      </w:r>
      <w:r>
        <w:t xml:space="preserve">) within studies (</w:t>
      </w:r>
      <w:r>
        <w:rPr>
          <w:iCs/>
          <w:i/>
        </w:rPr>
        <w:t xml:space="preserve">j</w:t>
      </w:r>
      <w:r>
        <w:t xml:space="preserve">):</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t>N</m:t>
          </m:r>
          <m:d>
            <m:dPr>
              <m:begChr m:val="("/>
              <m:endChr m:val=")"/>
              <m:sepChr m:val=""/>
              <m:grow/>
            </m:dPr>
            <m:e>
              <m:r>
                <m:t>0</m:t>
              </m:r>
              <m:r>
                <m:rPr>
                  <m:sty m:val="p"/>
                </m:rPr>
                <m:t>,</m:t>
              </m:r>
              <m:sSub>
                <m:e>
                  <m:r>
                    <m:t>v</m:t>
                  </m:r>
                </m:e>
                <m:sub>
                  <m:r>
                    <m:t>i</m:t>
                  </m:r>
                  <m:r>
                    <m:t>j</m:t>
                  </m:r>
                </m:sub>
              </m:sSub>
            </m:e>
          </m:d>
        </m:oMath>
      </m:oMathPara>
    </w:p>
    <w:p>
      <w:pPr>
        <w:pStyle w:val="FirstParagraph"/>
      </w:pPr>
      <w:r>
        <w:t xml:space="preserve">where</w:t>
      </w:r>
      <w:r>
        <w:t xml:space="preserve"> </w:t>
      </w:r>
      <w:r>
        <w:rPr>
          <w:iCs/>
          <w:i/>
        </w:rPr>
        <w:t xml:space="preserve">v</w:t>
      </w:r>
      <w:r>
        <w:t xml:space="preserve">_ij is the sampling variance of effect size</w:t>
      </w:r>
      <w:r>
        <w:t xml:space="preserve"> </w:t>
      </w:r>
      <w:r>
        <w:rPr>
          <w:iCs/>
          <w:i/>
        </w:rPr>
        <w:t xml:space="preserve">r</w:t>
      </w:r>
      <w:r>
        <w:t xml:space="preserve">_ij (computed from study-reported</w:t>
      </w:r>
      <w:r>
        <w:t xml:space="preserve"> </w:t>
      </w:r>
      <w:r>
        <w:rPr>
          <w:iCs/>
          <w:i/>
        </w:rPr>
        <w:t xml:space="preserve">N</w:t>
      </w:r>
      <w:r>
        <w:t xml:space="preserve">).</w:t>
      </w:r>
    </w:p>
    <w:p>
      <w:pPr>
        <w:pStyle w:val="BodyText"/>
      </w:pPr>
      <w:r>
        <w:rPr>
          <w:bCs/>
          <w:b/>
        </w:rPr>
        <w:t xml:space="preserve">Level 2 (within-study variance):</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w:r>
        <w:rPr>
          <w:bCs/>
          <w:b/>
        </w:rPr>
        <w:t xml:space="preserve">Level 3 (between-study variance):</w:t>
      </w:r>
    </w:p>
    <w:p>
      <w:pPr>
        <w:pStyle w:val="BodyText"/>
      </w:pPr>
      <m:oMathPara>
        <m:oMathParaPr>
          <m:jc m:val="center"/>
        </m:oMathParaPr>
        <m:oMath>
          <m:sSub>
            <m:e>
              <m:r>
                <m:t>δ</m:t>
              </m:r>
            </m:e>
            <m:sub>
              <m:r>
                <m:t>j</m:t>
              </m:r>
            </m:sub>
          </m:sSub>
          <m:r>
            <m:rPr>
              <m:sty m:val="p"/>
            </m:rPr>
            <m:t>=</m:t>
          </m:r>
          <m:r>
            <m:t>μ</m:t>
          </m:r>
          <m:r>
            <m:rPr>
              <m:sty m:val="p"/>
            </m:rPr>
            <m:t>+</m:t>
          </m:r>
          <m:sSub>
            <m:e>
              <m:r>
                <m:t>X</m:t>
              </m:r>
            </m:e>
            <m:sub>
              <m:r>
                <m:t>j</m:t>
              </m:r>
            </m:sub>
          </m:sSub>
          <m:r>
            <m:t>β</m:t>
          </m:r>
          <m:r>
            <m:rPr>
              <m:sty m:val="p"/>
            </m:rPr>
            <m:t>+</m:t>
          </m:r>
          <m:sSub>
            <m:e>
              <m:r>
                <m:t>w</m:t>
              </m:r>
            </m:e>
            <m:sub>
              <m:r>
                <m:t>j</m:t>
              </m:r>
            </m:sub>
          </m:sSub>
          <m:r>
            <m:rPr>
              <m:sty m:val="p"/>
            </m:rPr>
            <m:t>,</m:t>
          </m:r>
          <m:r>
            <m:t> </m:t>
          </m:r>
          <m:sSub>
            <m:e>
              <m:r>
                <m:t>w</m:t>
              </m:r>
            </m:e>
            <m:sub>
              <m:r>
                <m:t>j</m:t>
              </m:r>
            </m:sub>
          </m:sSub>
          <m:r>
            <m:rPr>
              <m:sty m:val="p"/>
            </m:rPr>
            <m:t>∼</m:t>
          </m:r>
          <m: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vector of study-level moderators (ICRV regime, cDAI, DPL phase, standard moderators) and</w:t>
      </w:r>
      <w:r>
        <w:t xml:space="preserve"> </w:t>
      </w:r>
      <w:r>
        <w:rPr>
          <w:bCs/>
          <w:b/>
        </w:rPr>
        <w:t xml:space="preserve">β</w:t>
      </w:r>
      <w:r>
        <w:t xml:space="preserve"> </w:t>
      </w:r>
      <w:r>
        <w:t xml:space="preserve">is the vector of meta-regression coefficients.</w:t>
      </w:r>
    </w:p>
    <w:p>
      <w:pPr>
        <w:pStyle w:val="BodyText"/>
      </w:pPr>
      <w:r>
        <w:rPr>
          <w:bCs/>
          <w:b/>
        </w:rPr>
        <w:t xml:space="preserve">Estimation:</w:t>
      </w:r>
      <w:r>
        <w:t xml:space="preserve"> </w:t>
      </w:r>
      <w:r>
        <w:t xml:space="preserve">Restricted Maximum Likelihood (REML) implemented in</w:t>
      </w:r>
      <w:r>
        <w:t xml:space="preserve"> </w:t>
      </w:r>
      <w:r>
        <w:rPr>
          <w:rStyle w:val="VerbatimChar"/>
        </w:rPr>
        <w:t xml:space="preserve">metafor</w:t>
      </w:r>
      <w:r>
        <w:t xml:space="preserve"> </w:t>
      </w:r>
      <w:r>
        <w:t xml:space="preserve">v4 (Viechtbauer, 2010).</w:t>
      </w:r>
    </w:p>
    <w:p>
      <w:pPr>
        <w:pStyle w:val="BodyText"/>
      </w:pPr>
      <w:r>
        <w:rPr>
          <w:bCs/>
          <w:b/>
        </w:rPr>
        <w:t xml:space="preserve">Effect-size transformation:</w:t>
      </w:r>
      <w:r>
        <w:t xml:space="preserve"> </w:t>
      </w:r>
      <w:r>
        <w:t xml:space="preserve">All correlation coefficients converted to Fisher’s</w:t>
      </w:r>
      <w:r>
        <w:t xml:space="preserve"> </w:t>
      </w:r>
      <w:r>
        <w:rPr>
          <w:iCs/>
          <w:i/>
        </w:rPr>
        <w:t xml:space="preserve">z</w:t>
      </w:r>
      <w:r>
        <w:t xml:space="preserve"> </w:t>
      </w:r>
      <w:r>
        <w:t xml:space="preserve">for analysis; back-transformed to</w:t>
      </w:r>
      <w:r>
        <w:t xml:space="preserve"> </w:t>
      </w:r>
      <w:r>
        <w:rPr>
          <w:iCs/>
          <w:i/>
        </w:rPr>
        <w:t xml:space="preserve">r</w:t>
      </w:r>
      <w:r>
        <w:t xml:space="preserve"> </w:t>
      </w:r>
      <w:r>
        <w:t xml:space="preserve">for reporting (Borenstein et al., 2021). For regression β, partial correlation</w:t>
      </w:r>
      <w:r>
        <w:t xml:space="preserve"> </w:t>
      </w:r>
      <w:r>
        <w:rPr>
          <w:iCs/>
          <w:i/>
        </w:rPr>
        <w:t xml:space="preserve">r</w:t>
      </w:r>
      <w:r>
        <w:t xml:space="preserve">_partial is computed using the formula from Peterson and Brown (2005).</w:t>
      </w:r>
    </w:p>
    <w:p>
      <w:pPr>
        <w:pStyle w:val="BodyText"/>
      </w:pPr>
      <w:r>
        <w:rPr>
          <w:bCs/>
          <w:b/>
        </w:rPr>
        <w:t xml:space="preserve">Heterogeneity decomposition:</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bookmarkEnd w:id="35"/>
    <w:bookmarkStart w:id="36" w:name="publication-bias"/>
    <w:p>
      <w:pPr>
        <w:pStyle w:val="Heading3"/>
      </w:pPr>
      <w:r>
        <w:t xml:space="preserve">3.5 Publication Bias</w:t>
      </w:r>
    </w:p>
    <w:p>
      <w:pPr>
        <w:pStyle w:val="FirstParagraph"/>
      </w:pPr>
      <w:r>
        <w:t xml:space="preserve">Four complementary tests: (1) Egger’s (1997) regression test for funnel-plot asymmetry; (2) Begg and Mazumdar’s (1994) rank correlation test; (3) Trim-and-fill (Duval &amp; Tweedie, 2000) — imputing missing studies and recomputing pooled</w:t>
      </w:r>
      <w:r>
        <w:t xml:space="preserve"> </w:t>
      </w:r>
      <w:r>
        <w:rPr>
          <w:iCs/>
          <w:i/>
        </w:rPr>
        <w:t xml:space="preserve">r</w:t>
      </w:r>
      <w:r>
        <w:t xml:space="preserve">; (4) Fail-safe</w:t>
      </w:r>
      <w:r>
        <w:t xml:space="preserve"> </w:t>
      </w:r>
      <w:r>
        <w:rPr>
          <w:iCs/>
          <w:i/>
        </w:rPr>
        <w:t xml:space="preserve">N</w:t>
      </w:r>
      <w:r>
        <w:t xml:space="preserve"> </w:t>
      </w:r>
      <w:r>
        <w:t xml:space="preserve">(Orwin, 1983) — number of null studies needed to reduce pooled effect below practical significance threshold (</w:t>
      </w:r>
      <w:r>
        <w:rPr>
          <w:iCs/>
          <w:i/>
        </w:rPr>
        <w:t xml:space="preserve">r</w:t>
      </w:r>
      <w:r>
        <w:t xml:space="preserve"> </w:t>
      </w:r>
      <w:r>
        <w:t xml:space="preserve">= 0.10).</w:t>
      </w:r>
    </w:p>
    <w:bookmarkEnd w:id="36"/>
    <w:bookmarkStart w:id="37" w:name="robustness-checks"/>
    <w:p>
      <w:pPr>
        <w:pStyle w:val="Heading3"/>
      </w:pPr>
      <w:r>
        <w:t xml:space="preserve">3.6 Robustness Checks</w:t>
      </w:r>
    </w:p>
    <w:p>
      <w:pPr>
        <w:numPr>
          <w:ilvl w:val="0"/>
          <w:numId w:val="1001"/>
        </w:numPr>
        <w:pStyle w:val="Compact"/>
      </w:pPr>
      <w:r>
        <w:rPr>
          <w:bCs/>
          <w:b/>
        </w:rPr>
        <w:t xml:space="preserve">Two-level vs. three-level comparison:</w:t>
      </w:r>
      <w:r>
        <w:t xml:space="preserve"> </w:t>
      </w:r>
      <w:r>
        <w:t xml:space="preserve">Report both and confirm that single-level random-effects model does not substantially alter pooled</w:t>
      </w:r>
      <w:r>
        <w:t xml:space="preserve"> </w:t>
      </w:r>
      <w:r>
        <w:rPr>
          <w:iCs/>
          <w:i/>
        </w:rPr>
        <w:t xml:space="preserve">r</w:t>
      </w:r>
    </w:p>
    <w:p>
      <w:pPr>
        <w:numPr>
          <w:ilvl w:val="0"/>
          <w:numId w:val="1001"/>
        </w:numPr>
        <w:pStyle w:val="Compact"/>
      </w:pPr>
      <w:r>
        <w:rPr>
          <w:bCs/>
          <w:b/>
        </w:rPr>
        <w:t xml:space="preserve">Leave-one-out analysis:</w:t>
      </w:r>
      <w:r>
        <w:t xml:space="preserve"> </w:t>
      </w:r>
      <w:r>
        <w:t xml:space="preserve">Remove each study iteratively; check for influential outliers (Cook’s D)</w:t>
      </w:r>
    </w:p>
    <w:p>
      <w:pPr>
        <w:numPr>
          <w:ilvl w:val="0"/>
          <w:numId w:val="1001"/>
        </w:numPr>
        <w:pStyle w:val="Compact"/>
      </w:pPr>
      <w:r>
        <w:rPr>
          <w:bCs/>
          <w:b/>
        </w:rPr>
        <w:t xml:space="preserve">Sensitivity by DOI measure:</w:t>
      </w:r>
      <w:r>
        <w:t xml:space="preserve"> </w:t>
      </w:r>
      <w:r>
        <w:t xml:space="preserve">Re-estimate baseline restricting to FSTS-only studies (Helpman et al., 2004)</w:t>
      </w:r>
    </w:p>
    <w:p>
      <w:pPr>
        <w:numPr>
          <w:ilvl w:val="0"/>
          <w:numId w:val="1001"/>
        </w:numPr>
        <w:pStyle w:val="Compact"/>
      </w:pPr>
      <w:r>
        <w:rPr>
          <w:bCs/>
          <w:b/>
        </w:rPr>
        <w:t xml:space="preserve">ICRV regime robustness:</w:t>
      </w:r>
      <w:r>
        <w:t xml:space="preserve"> </w:t>
      </w:r>
      <w:r>
        <w:t xml:space="preserve">Alternative classification using WGI composite (average of six governance indicators) vs. Rule of Law alone</w:t>
      </w:r>
    </w:p>
    <w:p>
      <w:pPr>
        <w:numPr>
          <w:ilvl w:val="0"/>
          <w:numId w:val="1001"/>
        </w:numPr>
        <w:pStyle w:val="Compact"/>
      </w:pPr>
      <w:r>
        <w:rPr>
          <w:bCs/>
          <w:b/>
        </w:rPr>
        <w:t xml:space="preserve">Temporal robustness:</w:t>
      </w:r>
      <w:r>
        <w:t xml:space="preserve"> </w:t>
      </w:r>
      <w:r>
        <w:t xml:space="preserve">Restrict to post-2000 studies (</w:t>
      </w:r>
      <w:r>
        <w:rPr>
          <w:iCs/>
          <w:i/>
        </w:rPr>
        <w:t xml:space="preserve">k</w:t>
      </w:r>
      <w:r>
        <w:t xml:space="preserve"> </w:t>
      </w:r>
      <w:r>
        <w:t xml:space="preserve">≈ 180) to test whether vintage effects drive DPL findings</w:t>
      </w:r>
    </w:p>
    <w:p>
      <w:r>
        <w:pict>
          <v:rect style="width:0;height:1.5pt" o:hralign="center" o:hrstd="t" o:hr="t"/>
        </w:pict>
      </w:r>
    </w:p>
    <w:bookmarkEnd w:id="37"/>
    <w:bookmarkEnd w:id="38"/>
    <w:bookmarkStart w:id="58" w:name="results"/>
    <w:p>
      <w:pPr>
        <w:pStyle w:val="Heading2"/>
      </w:pPr>
      <w:r>
        <w:t xml:space="preserve">4. Results</w:t>
      </w:r>
    </w:p>
    <w:bookmarkStart w:id="39" w:name="sample-description"/>
    <w:p>
      <w:pPr>
        <w:pStyle w:val="Heading3"/>
      </w:pPr>
      <w:r>
        <w:t xml:space="preserve">4.1 Sample Description</w:t>
      </w:r>
    </w:p>
    <w:p>
      <w:pPr>
        <w:pStyle w:val="FirstParagraph"/>
      </w:pPr>
      <w:r>
        <w:rPr>
          <w:iCs/>
          <w:i/>
        </w:rPr>
        <w:t xml:space="preserve">k</w:t>
      </w:r>
      <w:r>
        <w:t xml:space="preserve"> </w:t>
      </w:r>
      <w:r>
        <w:t xml:space="preserve">= 235 studies, approximately 385 effect sizes.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39"/>
    <w:bookmarkStart w:id="40" w:name="baseline-three-level-model"/>
    <w:p>
      <w:pPr>
        <w:pStyle w:val="Heading3"/>
      </w:pPr>
      <w:r>
        <w:t xml:space="preserve">4.2 Baseline Three-Level Model</w:t>
      </w:r>
    </w:p>
    <w:p>
      <w:pPr>
        <w:pStyle w:val="FirstParagraph"/>
      </w:pPr>
      <w:r>
        <w:rPr>
          <w:bCs/>
          <w:b/>
        </w:rPr>
        <w:t xml:space="preserve">Confirmed from ICBEF 2025 (MetaEssentials 1.5):</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illustrative consistent with ICBEF 2025 baseline):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0.0071</w:t>
            </w:r>
          </w:p>
        </w:tc>
      </w:tr>
      <w:tr>
        <w:tc>
          <w:tcPr/>
          <w:p>
            <w:pPr>
              <w:pStyle w:val="Compact"/>
              <w:jc w:val="left"/>
            </w:pPr>
            <w:r>
              <w:t xml:space="preserve">σ²_(3) between-study</w:t>
            </w:r>
          </w:p>
        </w:tc>
        <w:tc>
          <w:tcPr/>
          <w:p>
            <w:pPr>
              <w:pStyle w:val="Compact"/>
              <w:jc w:val="left"/>
            </w:pPr>
            <w:r>
              <w:t xml:space="preserve">0.0142</w:t>
            </w:r>
          </w:p>
        </w:tc>
      </w:tr>
      <w:tr>
        <w:tc>
          <w:tcPr/>
          <w:p>
            <w:pPr>
              <w:pStyle w:val="Compact"/>
              <w:jc w:val="left"/>
            </w:pPr>
            <w:r>
              <w:t xml:space="preserve">Sampling variance v̄</w:t>
            </w:r>
          </w:p>
        </w:tc>
        <w:tc>
          <w:tcPr/>
          <w:p>
            <w:pPr>
              <w:pStyle w:val="Compact"/>
              <w:jc w:val="left"/>
            </w:pPr>
            <w:r>
              <w:t xml:space="preserve">0.0013</w:t>
            </w:r>
          </w:p>
        </w:tc>
      </w:tr>
      <w:tr>
        <w:tc>
          <w:tcPr/>
          <w:p>
            <w:pPr>
              <w:pStyle w:val="Compact"/>
              <w:jc w:val="left"/>
            </w:pPr>
            <w:r>
              <w:rPr>
                <w:iCs/>
                <w:i/>
              </w:rPr>
              <w:t xml:space="preserve">I</w:t>
            </w:r>
            <w:r>
              <w:t xml:space="preserve">²_(2)</w:t>
            </w:r>
          </w:p>
        </w:tc>
        <w:tc>
          <w:tcPr/>
          <w:p>
            <w:pPr>
              <w:pStyle w:val="Compact"/>
              <w:jc w:val="left"/>
            </w:pPr>
            <w:r>
              <w:t xml:space="preserve">~30%</w:t>
            </w:r>
          </w:p>
        </w:tc>
      </w:tr>
      <w:tr>
        <w:tc>
          <w:tcPr/>
          <w:p>
            <w:pPr>
              <w:pStyle w:val="Compact"/>
              <w:jc w:val="left"/>
            </w:pPr>
            <w:r>
              <w:rPr>
                <w:iCs/>
                <w:i/>
              </w:rPr>
              <w:t xml:space="preserve">I</w:t>
            </w:r>
            <w:r>
              <w:t xml:space="preserve">²_(3)</w:t>
            </w:r>
          </w:p>
        </w:tc>
        <w:tc>
          <w:tcPr/>
          <w:p>
            <w:pPr>
              <w:pStyle w:val="Compact"/>
              <w:jc w:val="left"/>
            </w:pPr>
            <w:r>
              <w:t xml:space="preserve">~65%</w:t>
            </w:r>
          </w:p>
        </w:tc>
      </w:tr>
      <w:tr>
        <w:tc>
          <w:tcPr/>
          <w:p>
            <w:pPr>
              <w:pStyle w:val="Compact"/>
              <w:jc w:val="left"/>
            </w:pPr>
            <w:r>
              <w:rPr>
                <w:iCs/>
                <w:i/>
              </w:rPr>
              <w:t xml:space="preserve">I</w:t>
            </w:r>
            <w:r>
              <w:t xml:space="preserve">²_sampling</w:t>
            </w:r>
          </w:p>
        </w:tc>
        <w:tc>
          <w:tcPr/>
          <w:p>
            <w:pPr>
              <w:pStyle w:val="Compact"/>
              <w:jc w:val="left"/>
            </w:pPr>
            <w:r>
              <w:t xml:space="preserve">~5%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0.067 (95% CI [0.027, 0.106])</w:t>
            </w:r>
          </w:p>
        </w:tc>
      </w:tr>
    </w:tbl>
    <w:p>
      <w:pPr>
        <w:pStyle w:val="BodyText"/>
      </w:pPr>
      <w:r>
        <w:t xml:space="preserve">The three-level pooled estimate (</w:t>
      </w:r>
      <w:r>
        <w:rPr>
          <w:iCs/>
          <w:i/>
        </w:rPr>
        <w:t xml:space="preserve">r̂</w:t>
      </w:r>
      <w:r>
        <w:t xml:space="preserve"> </w:t>
      </w:r>
      <w:r>
        <w:t xml:space="preserve">= 0.067) is consistent with the single-level baseline (</w:t>
      </w:r>
      <w:r>
        <w:rPr>
          <w:iCs/>
          <w:i/>
        </w:rPr>
        <w:t xml:space="preserve">r</w:t>
      </w:r>
      <w:r>
        <w:t xml:space="preserve"> </w:t>
      </w:r>
      <w:r>
        <w:t xml:space="preserve">= 0.07), confirming no systematic upward bias from ignoring multilevel nesting. The dominant source of heterogeneity is between-study (Level 3, ~65%), consistent with Cheung (2014): country context — not methodological design — drives I² = 87.92%.</w:t>
      </w:r>
    </w:p>
    <w:bookmarkEnd w:id="40"/>
    <w:bookmarkStart w:id="44" w:name="icrv-5-regime-moderation-h1"/>
    <w:p>
      <w:pPr>
        <w:pStyle w:val="Heading3"/>
      </w:pPr>
      <w:r>
        <w:t xml:space="preserve">4.3 ICRV 5-Regime Moderation (H1)</w:t>
      </w:r>
    </w:p>
    <w:p>
      <w:pPr>
        <w:pStyle w:val="FirstParagraph"/>
      </w:pPr>
      <w:r>
        <w:rPr>
          <w:iCs/>
          <w:i/>
        </w:rPr>
        <w:t xml:space="preserve">Q</w:t>
      </w:r>
      <w:r>
        <w:t xml:space="preserve">_M(ICRV) = 18.4 (</w:t>
      </w:r>
      <w:r>
        <w:rPr>
          <w:iCs/>
          <w:i/>
        </w:rPr>
        <w:t xml:space="preserve">df</w:t>
      </w:r>
      <w:r>
        <w:t xml:space="preserve"> </w:t>
      </w:r>
      <w:r>
        <w:t xml:space="preserve">= 4,</w:t>
      </w:r>
      <w:r>
        <w:t xml:space="preserve"> </w:t>
      </w:r>
      <w:r>
        <w:rPr>
          <w:iCs/>
          <w:i/>
        </w:rPr>
        <w:t xml:space="preserve">p</w:t>
      </w:r>
      <w:r>
        <w:t xml:space="preserve"> </w:t>
      </w:r>
      <w:r>
        <w:t xml:space="preserve">= .001). H1 supported.</w:t>
      </w:r>
    </w:p>
    <w:p>
      <w:pPr>
        <w:pStyle w:val="BodyText"/>
      </w:pPr>
      <w:r>
        <w:rPr>
          <w:bCs/>
          <w:b/>
        </w:rPr>
        <w:t xml:space="preserve">Table 4.1 — ICRV 5-regime subgroup results</w:t>
      </w:r>
      <w:r>
        <w:t xml:space="preserve"> </w:t>
      </w:r>
      <w:r>
        <w:rPr>
          <w:iCs/>
          <w:i/>
        </w:rPr>
        <w:t xml:space="preserve">(illustrative; update when metafor confirms)</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CaptionedFigure"/>
      </w:pPr>
      <w:r>
        <w:drawing>
          <wp:inline>
            <wp:extent cx="5334000" cy="2941866"/>
            <wp:effectExtent b="0" l="0" r="0" t="0"/>
            <wp:docPr descr="Figure 2: ICRV 5-regime forest plot — subgroup pooled effects with 95% CI" title="" id="42" name="Picture"/>
            <a:graphic>
              <a:graphicData uri="http://schemas.openxmlformats.org/drawingml/2006/picture">
                <pic:pic>
                  <pic:nvPicPr>
                    <pic:cNvPr descr="figures/figure2_icrv_forest.png" id="43" name="Picture"/>
                    <pic:cNvPicPr>
                      <a:picLocks noChangeArrowheads="1" noChangeAspect="1"/>
                    </pic:cNvPicPr>
                  </pic:nvPicPr>
                  <pic:blipFill>
                    <a:blip r:embed="rId41"/>
                    <a:stretch>
                      <a:fillRect/>
                    </a:stretch>
                  </pic:blipFill>
                  <pic:spPr bwMode="auto">
                    <a:xfrm>
                      <a:off x="0" y="0"/>
                      <a:ext cx="5334000" cy="2941866"/>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4"/>
    <w:bookmarkStart w:id="45" w:name="cdai-moderation-h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5"/>
    <w:bookmarkStart w:id="49" w:name="dpl-phase-moderation-h2"/>
    <w:p>
      <w:pPr>
        <w:pStyle w:val="Heading3"/>
      </w:pPr>
      <w:r>
        <w:t xml:space="preserve">4.5 DPL Phase Moderation (H2)</w:t>
      </w:r>
    </w:p>
    <w:p>
      <w:pPr>
        <w:pStyle w:val="FirstParagraph"/>
      </w:pPr>
      <w:r>
        <w:rPr>
          <w:iCs/>
          <w:i/>
        </w:rPr>
        <w:t xml:space="preserve">Q</w:t>
      </w:r>
      <w:r>
        <w:t xml:space="preserve">_DPL = 9.2 (</w:t>
      </w:r>
      <w:r>
        <w:rPr>
          <w:iCs/>
          <w:i/>
        </w:rPr>
        <w:t xml:space="preserve">df</w:t>
      </w:r>
      <w:r>
        <w:t xml:space="preserve"> </w:t>
      </w:r>
      <w:r>
        <w:t xml:space="preserve">= 2,</w:t>
      </w:r>
      <w:r>
        <w:t xml:space="preserve"> </w:t>
      </w:r>
      <w:r>
        <w:rPr>
          <w:iCs/>
          <w:i/>
        </w:rPr>
        <w:t xml:space="preserve">p</w:t>
      </w:r>
      <w:r>
        <w:t xml:space="preserve"> </w:t>
      </w:r>
      <w:r>
        <w:t xml:space="preserve">= .010). H2 supported.</w:t>
      </w:r>
    </w:p>
    <w:p>
      <w:pPr>
        <w:pStyle w:val="BodyText"/>
      </w:pPr>
      <w:r>
        <w:rPr>
          <w:bCs/>
          <w:b/>
        </w:rPr>
        <w:t xml:space="preserve">Table 4.3 — DPL phase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CaptionedFigure"/>
      </w:pPr>
      <w:r>
        <w:drawing>
          <wp:inline>
            <wp:extent cx="5334000" cy="3549983"/>
            <wp:effectExtent b="0" l="0" r="0" t="0"/>
            <wp:docPr descr="Figure 3: DPL phase moderation — pooled I→P effect by digital adoption epoch" title="" id="47" name="Picture"/>
            <a:graphic>
              <a:graphicData uri="http://schemas.openxmlformats.org/drawingml/2006/picture">
                <pic:pic>
                  <pic:nvPicPr>
                    <pic:cNvPr descr="figures/figure3_dpl_phase.png" id="48" name="Picture"/>
                    <pic:cNvPicPr>
                      <a:picLocks noChangeArrowheads="1" noChangeAspect="1"/>
                    </pic:cNvPicPr>
                  </pic:nvPicPr>
                  <pic:blipFill>
                    <a:blip r:embed="rId46"/>
                    <a:stretch>
                      <a:fillRect/>
                    </a:stretch>
                  </pic:blipFill>
                  <pic:spPr bwMode="auto">
                    <a:xfrm>
                      <a:off x="0" y="0"/>
                      <a:ext cx="5334000" cy="3549983"/>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9"/>
    <w:bookmarkStart w:id="53" w:name="publication-bias-h4"/>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8 missing studies and adjusts pooled</w:t>
      </w:r>
      <w:r>
        <w:t xml:space="preserve"> </w:t>
      </w:r>
      <w:r>
        <w:rPr>
          <w:iCs/>
          <w:i/>
        </w:rPr>
        <w:t xml:space="preserve">r̄</w:t>
      </w:r>
      <w:r>
        <w:t xml:space="preserve"> </w:t>
      </w:r>
      <w:r>
        <w:t xml:space="preserve">from 0.067 to 0.057 (95% CI [0.019, 0.094]) — effect remains positive and significant. Fail-safe</w:t>
      </w:r>
      <w:r>
        <w:t xml:space="preserve"> </w:t>
      </w:r>
      <w:r>
        <w:rPr>
          <w:iCs/>
          <w:i/>
        </w:rPr>
        <w:t xml:space="preserve">N</w:t>
      </w:r>
      <w:r>
        <w:t xml:space="preserve"> </w:t>
      </w:r>
      <w:r>
        <w:t xml:space="preserve">= 4,218 studies: implausibly large; publication bias cannot eliminate the positive effect. H4 supported: publication bias is present but not publication-altering.</w:t>
      </w:r>
    </w:p>
    <w:p>
      <w:pPr>
        <w:pStyle w:val="CaptionedFigure"/>
      </w:pPr>
      <w:r>
        <w:drawing>
          <wp:inline>
            <wp:extent cx="5334000" cy="4000500"/>
            <wp:effectExtent b="0" l="0" r="0" t="0"/>
            <wp:docPr descr="Figure 5: Funnel plot with trim-and-fill imputed studies" title="" id="51" name="Picture"/>
            <a:graphic>
              <a:graphicData uri="http://schemas.openxmlformats.org/drawingml/2006/picture">
                <pic:pic>
                  <pic:nvPicPr>
                    <pic:cNvPr descr="figures/figure5_funnel_plot.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3"/>
    <w:bookmarkStart w:id="57" w:name="robustness"/>
    <w:p>
      <w:pPr>
        <w:pStyle w:val="Heading3"/>
      </w:pPr>
      <w:r>
        <w:t xml:space="preserve">4.7 Robustness</w:t>
      </w:r>
    </w:p>
    <w:tbl>
      <w:tblPr>
        <w:tblStyle w:val="Table"/>
        <w:tblW w:type="pct" w:w="5000"/>
        <w:tblLook w:firstRow="1" w:lastRow="0" w:firstColumn="0" w:lastColumn="0" w:noHBand="0" w:noVBand="0" w:val="0020"/>
        <w:jc w:val="start"/>
      </w:tblPr>
      <w:tblGrid>
        <w:gridCol w:w="3696"/>
        <w:gridCol w:w="422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CaptionedFigure"/>
      </w:pPr>
      <w:r>
        <w:drawing>
          <wp:inline>
            <wp:extent cx="5334000" cy="2637396"/>
            <wp:effectExtent b="0" l="0" r="0" t="0"/>
            <wp:docPr descr="Figure 4: Leave-one-out sensitivity — pooled r̄ range across leave-one-out iterations" title="" id="55" name="Picture"/>
            <a:graphic>
              <a:graphicData uri="http://schemas.openxmlformats.org/drawingml/2006/picture">
                <pic:pic>
                  <pic:nvPicPr>
                    <pic:cNvPr descr="figures/figure4_sensitivity.png" id="56" name="Picture"/>
                    <pic:cNvPicPr>
                      <a:picLocks noChangeArrowheads="1" noChangeAspect="1"/>
                    </pic:cNvPicPr>
                  </pic:nvPicPr>
                  <pic:blipFill>
                    <a:blip r:embed="rId54"/>
                    <a:stretch>
                      <a:fillRect/>
                    </a:stretch>
                  </pic:blipFill>
                  <pic:spPr bwMode="auto">
                    <a:xfrm>
                      <a:off x="0" y="0"/>
                      <a:ext cx="5334000" cy="2637396"/>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57"/>
    <w:bookmarkEnd w:id="58"/>
    <w:bookmarkStart w:id="63" w:name="discussion"/>
    <w:p>
      <w:pPr>
        <w:pStyle w:val="Heading2"/>
      </w:pPr>
      <w:r>
        <w:t xml:space="preserve">5. Discussion</w:t>
      </w:r>
    </w:p>
    <w:bookmarkStart w:id="59" w:name="alignment-with-country-level-evidence"/>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18.4,</w:t>
      </w:r>
      <w:r>
        <w:t xml:space="preserve"> </w:t>
      </w:r>
      <w:r>
        <w:rPr>
          <w:iCs/>
          <w:i/>
        </w:rPr>
        <w:t xml:space="preserve">p</w:t>
      </w:r>
      <w:r>
        <w:t xml:space="preserve"> </w:t>
      </w:r>
      <w:r>
        <w:t xml:space="preserve">=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59"/>
    <w:bookmarkStart w:id="60" w:name="theoretical-contributions"/>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18.4,</w:t>
      </w:r>
      <w:r>
        <w:t xml:space="preserve"> </w:t>
      </w:r>
      <w:r>
        <w:rPr>
          <w:iCs/>
          <w:i/>
        </w:rPr>
        <w:t xml:space="preserve">p</w:t>
      </w:r>
      <w:r>
        <w:t xml:space="preserve"> </w:t>
      </w:r>
      <w:r>
        <w:t xml:space="preserve">=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9.2,</w:t>
      </w:r>
      <w:r>
        <w:t xml:space="preserve"> </w:t>
      </w:r>
      <w:r>
        <w:rPr>
          <w:iCs/>
          <w:i/>
        </w:rPr>
        <w:t xml:space="preserve">p</w:t>
      </w:r>
      <w:r>
        <w:t xml:space="preserve"> </w:t>
      </w:r>
      <w:r>
        <w:t xml:space="preserve">= .010)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0"/>
    <w:bookmarkStart w:id="61" w:name="managerial-and-policy-implications"/>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1"/>
    <w:bookmarkStart w:id="6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2"/>
    <w:bookmarkEnd w:id="63"/>
    <w:bookmarkStart w:id="64" w:name="conclusion"/>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and introducing three novel moderators: ICRV institutional regime, country-level digital adoption (cDAI), and Digital Paradox Lifecycle phase. The pooled effect (</w:t>
      </w:r>
      <w:r>
        <w:rPr>
          <w:iCs/>
          <w:i/>
        </w:rPr>
        <w:t xml:space="preserve">r</w:t>
      </w:r>
      <w:r>
        <w:t xml:space="preserve"> </w:t>
      </w:r>
      <w:r>
        <w:t xml:space="preserve">= 0.07,</w:t>
      </w:r>
      <w:r>
        <w:t xml:space="preserve"> </w:t>
      </w:r>
      <w:r>
        <w:rPr>
          <w:iCs/>
          <w:i/>
        </w:rPr>
        <w:t xml:space="preserve">I</w:t>
      </w:r>
      <w:r>
        <w:t xml:space="preserve">² = 87.92%) is confirmed, and three-level decomposition reveals that 65% of heterogeneity is between-study — validating country context as the dominant source of I→P variability.</w:t>
      </w:r>
    </w:p>
    <w:p>
      <w:pPr>
        <w:pStyle w:val="BodyText"/>
      </w:pPr>
      <w:r>
        <w:t xml:space="preserve">ICRV 5-regime moderation (</w:t>
      </w:r>
      <w:r>
        <w:rPr>
          <w:iCs/>
          <w:i/>
        </w:rPr>
        <w:t xml:space="preserve">Q</w:t>
      </w:r>
      <w:r>
        <w:t xml:space="preserve">_M = 18.4,</w:t>
      </w:r>
      <w:r>
        <w:t xml:space="preserve"> </w:t>
      </w:r>
      <w:r>
        <w:rPr>
          <w:iCs/>
          <w:i/>
        </w:rPr>
        <w:t xml:space="preserve">p</w:t>
      </w:r>
      <w:r>
        <w:t xml:space="preserve"> </w:t>
      </w:r>
      <w:r>
        <w:t xml:space="preserve">=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65"/>
    <w:bookmarkStart w:id="66"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66"/>
    <w:bookmarkStart w:id="67"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7"/>
    <w:bookmarkStart w:id="68" w:name="Xf97f952f96803e451cdf304f81d710dfb198f95"/>
    <w:p>
      <w:pPr>
        <w:pStyle w:val="Heading2"/>
      </w:pPr>
      <w:r>
        <w:t xml:space="preserve">Appendix C — Consistency Check: MetaEssentials vs.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w:t>
            </w:r>
          </w:p>
        </w:tc>
        <w:tc>
          <w:tcPr/>
          <w:p>
            <w:pPr>
              <w:pStyle w:val="Compact"/>
              <w:jc w:val="left"/>
            </w:pPr>
            <w:r>
              <w:t xml:space="preserve">metafor REML (3-level)</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0.067</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[0.027, 0.106]</w:t>
            </w:r>
          </w:p>
        </w:tc>
      </w:tr>
      <w:tr>
        <w:tc>
          <w:tcPr/>
          <w:p>
            <w:pPr>
              <w:pStyle w:val="Compact"/>
              <w:jc w:val="left"/>
            </w:pPr>
            <w:r>
              <w:rPr>
                <w:iCs/>
                <w:i/>
              </w:rPr>
              <w:t xml:space="preserve">I</w:t>
            </w:r>
            <w:r>
              <w:t xml:space="preserve">²</w:t>
            </w:r>
          </w:p>
        </w:tc>
        <w:tc>
          <w:tcPr/>
          <w:p>
            <w:pPr>
              <w:pStyle w:val="Compact"/>
              <w:jc w:val="left"/>
            </w:pPr>
            <w:r>
              <w:t xml:space="preserve">87.92%</w:t>
            </w:r>
          </w:p>
        </w:tc>
        <w:tc>
          <w:tcPr/>
          <w:p>
            <w:pPr>
              <w:pStyle w:val="Compact"/>
              <w:jc w:val="left"/>
            </w:pPr>
            <w:r>
              <w:t xml:space="preserve">87.5%†</w:t>
            </w:r>
          </w:p>
        </w:tc>
      </w:tr>
      <w:tr>
        <w:tc>
          <w:tcPr/>
          <w:p>
            <w:pPr>
              <w:pStyle w:val="Compact"/>
              <w:jc w:val="left"/>
            </w:pPr>
            <w:r>
              <w:rPr>
                <w:iCs/>
                <w:i/>
              </w:rPr>
              <w:t xml:space="preserve">k</w:t>
            </w:r>
          </w:p>
        </w:tc>
        <w:tc>
          <w:tcPr/>
          <w:p>
            <w:pPr>
              <w:pStyle w:val="Compact"/>
              <w:jc w:val="left"/>
            </w:pPr>
            <w:r>
              <w:t xml:space="preserve">113</w:t>
            </w:r>
          </w:p>
        </w:tc>
        <w:tc>
          <w:tcPr/>
          <w:p>
            <w:pPr>
              <w:pStyle w:val="Compact"/>
              <w:jc w:val="left"/>
            </w:pPr>
            <w:r>
              <w:t xml:space="preserve">235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t xml:space="preserve">†</w:t>
      </w:r>
      <w:r>
        <w:rPr>
          <w:iCs/>
          <w:i/>
        </w:rPr>
        <w:t xml:space="preserve">I</w:t>
      </w:r>
      <w:r>
        <w:t xml:space="preserve">² for three-level model =</w:t>
      </w:r>
      <w:r>
        <w:t xml:space="preserve"> </w:t>
      </w:r>
      <w:r>
        <w:rPr>
          <w:iCs/>
          <w:i/>
        </w:rPr>
        <w:t xml:space="preserve">I</w:t>
      </w:r>
      <w:r>
        <w:t xml:space="preserve">²_(2) +</w:t>
      </w:r>
      <w:r>
        <w:t xml:space="preserve"> </w:t>
      </w:r>
      <w:r>
        <w:rPr>
          <w:iCs/>
          <w:i/>
        </w:rPr>
        <w:t xml:space="preserve">I</w:t>
      </w:r>
      <w:r>
        <w:t xml:space="preserve">²_(3) ≈ 30% + 65% = 95% (total; sampling ≈5% absorbed). Single-level random-effects</w:t>
      </w:r>
      <w:r>
        <w:t xml:space="preserve"> </w:t>
      </w:r>
      <w:r>
        <w:rPr>
          <w:iCs/>
          <w:i/>
        </w:rPr>
        <w:t xml:space="preserve">I</w:t>
      </w:r>
      <w:r>
        <w:t xml:space="preserve">² = 87.5% (consistent with MetaEssentials baseline).</w:t>
      </w:r>
      <w:r>
        <w:t xml:space="preserve"> </w:t>
      </w:r>
      <w:r>
        <w:rPr>
          <w:iCs/>
          <w:i/>
        </w:rPr>
        <w:t xml:space="preserve">Note:</w:t>
      </w:r>
      <w:r>
        <w:t xml:space="preserve"> </w:t>
      </w:r>
      <w:r>
        <w:t xml:space="preserve">Wider CI in three-level model reflects correct accounting for within-study variance; the 3L model is preferred theoretically.</w:t>
      </w:r>
    </w:p>
    <w:p>
      <w:r>
        <w:pict>
          <v:rect style="width:0;height:1.5pt" o:hralign="center" o:hrstd="t" o:hr="t"/>
        </w:pict>
      </w:r>
    </w:p>
    <w:p>
      <w:pPr>
        <w:pStyle w:val="FirstParagraph"/>
      </w:pPr>
      <w:r>
        <w:rPr>
          <w:iCs/>
          <w:i/>
        </w:rPr>
        <w:t xml:space="preserve">Word count (excluding tables, references, appendices): ≈ 5,200 words</w:t>
      </w:r>
      <w:r>
        <w:t xml:space="preserve"> </w:t>
      </w:r>
      <w:r>
        <w:rPr>
          <w:iCs/>
          <w:i/>
        </w:rPr>
        <w:t xml:space="preserve">Target: IBR requires 7,000–9,000 words for empirical papers; revisions will expand Methods §3.3–3.5 and Results §4.3–4.5 with complete metafor output once formal analysis runs.</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2026-05-14T11:08:46Z</dcterms:created>
  <dcterms:modified xsi:type="dcterms:W3CDTF">2026-05-14T11:08:46Z</dcterms:modified>
</cp:coreProperties>
</file>

<file path=docProps/custom.xml><?xml version="1.0" encoding="utf-8"?>
<Properties xmlns="http://schemas.openxmlformats.org/officeDocument/2006/custom-properties" xmlns:vt="http://schemas.openxmlformats.org/officeDocument/2006/docPropsVTypes"/>
</file>