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51.png" ContentType="image/png"/>
  <Override PartName="/word/media/rId59.png" ContentType="image/png"/>
  <Override PartName="/word/media/rId55.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71f68986ebdedfa6a7fda36701097f5cdd5e3a2"/>
    <w:p>
      <w:pPr>
        <w:pStyle w:val="Heading1"/>
      </w:pPr>
      <w:r>
        <w:t xml:space="preserve">Institutional Context, Digital Adoption, and the Internationalization–Performance Relationship: A Three-Level Meta-Analysis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examining whether country-level digital adoption (cDAI), institutional context regime (ICRV), and Digital Paradox Lifecycle (DPL) phase moderate the internationalization–performance (I→P) relationship — three theoretically motivated moderators that prior meta-analyses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278 studies with</w:t>
      </w:r>
      <w:r>
        <w:t xml:space="preserve"> </w:t>
      </w:r>
      <w:r>
        <w:rPr>
          <w:iCs/>
          <w:i/>
        </w:rPr>
        <w:t xml:space="preserve">K</w:t>
      </w:r>
      <w:r>
        <w:t xml:space="preserve"> </w:t>
      </w:r>
      <w:r>
        <w:t xml:space="preserve">= 328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0.076 (95% CI [0.063, 0.089],</w:t>
      </w:r>
      <w:r>
        <w:t xml:space="preserve"> </w:t>
      </w:r>
      <w:r>
        <w:rPr>
          <w:iCs/>
          <w:i/>
        </w:rPr>
        <w:t xml:space="preserve">p</w:t>
      </w:r>
      <w:r>
        <w:t xml:space="preserve"> </w:t>
      </w:r>
      <w:r>
        <w:t xml:space="preserve">&lt; .001) with</w:t>
      </w:r>
      <w:r>
        <w:t xml:space="preserve"> </w:t>
      </w:r>
      <w:r>
        <w:rPr>
          <w:iCs/>
          <w:i/>
        </w:rPr>
        <w:t xml:space="preserve">I</w:t>
      </w:r>
      <w:r>
        <w:t xml:space="preserve">² = 65.9%, of which the within-study level dominates (Level 2 = 57.1%; Level 3 = 8.8%), replicating and extending the 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 moderators show limited support: ICRV regime differences are marginally significant (</w:t>
      </w:r>
      <w:r>
        <w:rPr>
          <w:iCs/>
          <w:i/>
        </w:rPr>
        <w:t xml:space="preserve">Q</w:t>
      </w:r>
      <w:r>
        <w:t xml:space="preserve">_M = 9.46,</w:t>
      </w:r>
      <w:r>
        <w:t xml:space="preserve"> </w:t>
      </w:r>
      <w:r>
        <w:rPr>
          <w:iCs/>
          <w:i/>
        </w:rPr>
        <w:t xml:space="preserve">df</w:t>
      </w:r>
      <w:r>
        <w:t xml:space="preserve"> </w:t>
      </w:r>
      <w:r>
        <w:t xml:space="preserve">= 4,</w:t>
      </w:r>
      <w:r>
        <w:t xml:space="preserve"> </w:t>
      </w:r>
      <w:r>
        <w:rPr>
          <w:iCs/>
          <w:i/>
        </w:rPr>
        <w:t xml:space="preserve">p</w:t>
      </w:r>
      <w:r>
        <w:t xml:space="preserve"> </w:t>
      </w:r>
      <w:r>
        <w:t xml:space="preserve">= .051 — significant at the 10% but not the 5% level) and are driven by a small, high-effect Frontier cell (</w:t>
      </w:r>
      <w:r>
        <w:rPr>
          <w:iCs/>
          <w:i/>
        </w:rPr>
        <w:t xml:space="preserve">K</w:t>
      </w:r>
      <w:r>
        <w:t xml:space="preserve"> </w:t>
      </w:r>
      <w:r>
        <w:t xml:space="preserve">= 4) rather than a monotone institutional gradient; cDAI and DPL phase moderation are not significant (</w:t>
      </w:r>
      <w:r>
        <w:rPr>
          <w:iCs/>
          <w:i/>
        </w:rPr>
        <w:t xml:space="preserve">Q</w:t>
      </w:r>
      <w:r>
        <w:t xml:space="preserve">_M = 0.23,</w:t>
      </w:r>
      <w:r>
        <w:t xml:space="preserve"> </w:t>
      </w:r>
      <w:r>
        <w:rPr>
          <w:iCs/>
          <w:i/>
        </w:rPr>
        <w:t xml:space="preserve">p</w:t>
      </w:r>
      <w:r>
        <w:t xml:space="preserve"> </w:t>
      </w:r>
      <w:r>
        <w:t xml:space="preserve">= .893 and</w:t>
      </w:r>
      <w:r>
        <w:t xml:space="preserve"> </w:t>
      </w:r>
      <w:r>
        <w:rPr>
          <w:iCs/>
          <w:i/>
        </w:rPr>
        <w:t xml:space="preserve">Q</w:t>
      </w:r>
      <w:r>
        <w:t xml:space="preserve">_M = 0.47,</w:t>
      </w:r>
      <w:r>
        <w:t xml:space="preserve"> </w:t>
      </w:r>
      <w:r>
        <w:rPr>
          <w:iCs/>
          <w:i/>
        </w:rPr>
        <w:t xml:space="preserve">p</w:t>
      </w:r>
      <w:r>
        <w:t xml:space="preserve"> </w:t>
      </w:r>
      <w:r>
        <w:t xml:space="preserve">= .789, respectively). Publication-bias evidence is mixed: Begg's test (τ = −0.119,</w:t>
      </w:r>
      <w:r>
        <w:t xml:space="preserve"> </w:t>
      </w:r>
      <w:r>
        <w:rPr>
          <w:iCs/>
          <w:i/>
        </w:rPr>
        <w:t xml:space="preserve">p</w:t>
      </w:r>
      <w:r>
        <w:t xml:space="preserve"> </w:t>
      </w:r>
      <w:r>
        <w:t xml:space="preserve">= .001) and trim-and-fill (</w:t>
      </w:r>
      <w:r>
        <w:rPr>
          <w:iCs/>
          <w:i/>
        </w:rPr>
        <w:t xml:space="preserve">k</w:t>
      </w:r>
      <w:r>
        <w:t xml:space="preserve">₀ = 58 imputed; adjusted</w:t>
      </w:r>
      <w:r>
        <w:t xml:space="preserve"> </w:t>
      </w:r>
      <w:r>
        <w:rPr>
          <w:iCs/>
          <w:i/>
        </w:rPr>
        <w:t xml:space="preserve">r̄</w:t>
      </w:r>
      <w:r>
        <w:t xml:space="preserve"> </w:t>
      </w:r>
      <w:r>
        <w:t xml:space="preserve">= 0.041, 95% CI [0.030, 0.052]) indicate left-side asymmetry, while Egger's regression is only marginal (</w:t>
      </w:r>
      <w:r>
        <w:rPr>
          <w:iCs/>
          <w:i/>
        </w:rPr>
        <w:t xml:space="preserve">p</w:t>
      </w:r>
      <w:r>
        <w:t xml:space="preserve"> </w:t>
      </w:r>
      <w:r>
        <w:t xml:space="preserve">= .059). The adjusted</w:t>
      </w:r>
      <w:r>
        <w:t xml:space="preserve"> </w:t>
      </w:r>
      <w:r>
        <w:rPr>
          <w:iCs/>
          <w:i/>
        </w:rPr>
        <w:t xml:space="preserve">r̄</w:t>
      </w:r>
      <w:r>
        <w:t xml:space="preserve"> </w:t>
      </w:r>
      <w:r>
        <w:t xml:space="preserve">is 0.041 (95% CI [0.030, 0.052]).</w:t>
      </w:r>
      <w:r>
        <w:t xml:space="preserve"> </w:t>
      </w:r>
      <w:r>
        <w:rPr>
          <w:bCs/>
          <w:b/>
        </w:rPr>
        <w:t xml:space="preserve">Originality/value:</w:t>
      </w:r>
      <w:r>
        <w:t xml:space="preserve"> </w:t>
      </w:r>
      <w:r>
        <w:t xml:space="preserve">This is the first three-level MARA of I→P drawing on</w:t>
      </w:r>
      <w:r>
        <w:t xml:space="preserve"> </w:t>
      </w:r>
      <w:r>
        <w:rPr>
          <w:iCs/>
          <w:i/>
        </w:rPr>
        <w:t xml:space="preserve">k</w:t>
      </w:r>
      <w:r>
        <w:t xml:space="preserve"> </w:t>
      </w:r>
      <w:r>
        <w:t xml:space="preserve">= 278 studies from economies worldwide, and the first to formally test ICRV, cDAI, and DPL phase as moderators. Of the three hypothesised moderators only ICRV is marginally significant (</w:t>
      </w:r>
      <w:r>
        <w:rPr>
          <w:iCs/>
          <w:i/>
        </w:rPr>
        <w:t xml:space="preserve">Q</w:t>
      </w:r>
      <w:r>
        <w:t xml:space="preserve">_M = 9.46,</w:t>
      </w:r>
      <w:r>
        <w:t xml:space="preserve"> </w:t>
      </w:r>
      <w:r>
        <w:rPr>
          <w:iCs/>
          <w:i/>
        </w:rPr>
        <w:t xml:space="preserve">p</w:t>
      </w:r>
      <w:r>
        <w:t xml:space="preserve"> </w:t>
      </w:r>
      <w:r>
        <w:t xml:space="preserve">= .051; significant at α = .10, not α = .05), while cDAI and DPL are clearly null; the directional gradient (E1a/E1b) is not supported — a pattern that, combined with the dominance of within-study heterogeneity and modest publication bias, reframes the heterogeneity puzzle: unexplained variance in I→P arises chiefly from analytic choices</w:t>
      </w:r>
      <w:r>
        <w:t xml:space="preserve"> </w:t>
      </w:r>
      <w:r>
        <w:rPr>
          <w:iCs/>
          <w:i/>
        </w:rPr>
        <w:t xml:space="preserve">within</w:t>
      </w:r>
      <w:r>
        <w:t xml:space="preserve"> </w:t>
      </w:r>
      <w:r>
        <w:t xml:space="preserve">primary studies rather than from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global</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 "I→P relationship")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([Authors],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5-regime.</w:t>
      </w:r>
      <w:r>
        <w:t xml:space="preserve"> </w:t>
      </w:r>
      <w:r>
        <w:t xml:space="preserve">Marano et al. (2016) established that home-country institutions moderate I→P, but applied a coarse six-group global taxonomy. The global study corpus spans the full institutional spectrum — from Singapore (World Governance Indicators Rule of Law score +1.84) to frontier economies such as Pakistan (WGI −0.55) and Iran (WGI −0.74; World Bank, 2023). An ICRV 5-regime classification capable of resolving this heterogeneity has not been tested meta-analytically on a globally representative I→P corpus.</w:t>
      </w:r>
    </w:p>
    <w:p>
      <w:pPr>
        <w:pStyle w:val="BodyText"/>
      </w:pPr>
      <w:r>
        <w:rPr>
          <w:bCs/>
          <w:b/>
        </w:rPr>
        <w:t xml:space="preserve">Gap 3 — DPL phase.</w:t>
      </w:r>
      <w:r>
        <w:t xml:space="preserve"> </w:t>
      </w:r>
      <w:r>
        <w:t xml:space="preserve">Brynjolfsson et al. (2021) identified 2009 as a productivity inflection point in the digital era (the "dynamo analogy" 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278,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 framework applied to a globally representative I→P corpus (</w:t>
      </w:r>
      <w:r>
        <w:rPr>
          <w:iCs/>
          <w:i/>
        </w:rPr>
        <w:t xml:space="preserve">k</w:t>
      </w:r>
      <w:r>
        <w:t xml:space="preserve"> </w:t>
      </w:r>
      <w:r>
        <w:t xml:space="preserve">= 278); (5) first formal test of cDAI as a national-level digital-infrastructure moderator of I→P; (6) first test of DPL phase as a temporal moderator using three-level MARA. The non-confirmation of E1a/E1b, H2, and H3, and the anomalous ICRV Frontier pattern, are themselves informative findings that bound the conditions under which 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0.076,</w:t>
      </w:r>
      <w:r>
        <w:t xml:space="preserve"> </w:t>
      </w:r>
      <w:r>
        <w:rPr>
          <w:iCs/>
          <w:i/>
        </w:rPr>
        <w:t xml:space="preserve">k</w:t>
      </w:r>
      <w:r>
        <w:t xml:space="preserve"> </w:t>
      </w:r>
      <w:r>
        <w:t xml:space="preserve">= 278,</w:t>
      </w:r>
      <w:r>
        <w:t xml:space="preserve"> </w:t>
      </w:r>
      <w:r>
        <w:rPr>
          <w:iCs/>
          <w:i/>
        </w:rPr>
        <w:t xml:space="preserve">K</w:t>
      </w:r>
      <w:r>
        <w:t xml:space="preserve"> </w:t>
      </w:r>
      <w:r>
        <w:t xml:space="preserve">= 328) replicates and extends the ICBEF 2025 finding (</w:t>
      </w:r>
      <w:r>
        <w:rPr>
          <w:iCs/>
          <w:i/>
        </w:rPr>
        <w:t xml:space="preserve">r</w:t>
      </w:r>
      <w:r>
        <w:t xml:space="preserve"> </w:t>
      </w:r>
      <w:r>
        <w:t xml:space="preserve">= 0.07,</w:t>
      </w:r>
      <w:r>
        <w:t xml:space="preserve"> </w:t>
      </w:r>
      <w:r>
        <w:rPr>
          <w:iCs/>
          <w:i/>
        </w:rPr>
        <w:t xml:space="preserve">k</w:t>
      </w:r>
      <w:r>
        <w:t xml:space="preserve"> </w:t>
      </w:r>
      <w:r>
        <w:t xml:space="preserve">= 113), confirming a small but consistent positive I→P relationship globally. H1 (between-regime Q_M test) receives</w:t>
      </w:r>
      <w:r>
        <w:t xml:space="preserve"> </w:t>
      </w:r>
      <w:r>
        <w:rPr>
          <w:bCs/>
          <w:b/>
        </w:rPr>
        <w:t xml:space="preserve">marginal</w:t>
      </w:r>
      <w:r>
        <w:t xml:space="preserve"> </w:t>
      </w:r>
      <w:r>
        <w:t xml:space="preserve">support — the omnibus is significant at the 10% level (</w:t>
      </w:r>
      <w:r>
        <w:rPr>
          <w:iCs/>
          <w:i/>
        </w:rPr>
        <w:t xml:space="preserve">Q</w:t>
      </w:r>
      <w:r>
        <w:t xml:space="preserve">_M = 9.46,</w:t>
      </w:r>
      <w:r>
        <w:t xml:space="preserve"> </w:t>
      </w:r>
      <w:r>
        <w:rPr>
          <w:iCs/>
          <w:i/>
        </w:rPr>
        <w:t xml:space="preserve">p</w:t>
      </w:r>
      <w:r>
        <w:t xml:space="preserve"> </w:t>
      </w:r>
      <w:r>
        <w:t xml:space="preserve">= .051) but not at the conventional 5% threshold, and is driven by a small, high-effect Frontier cell (</w:t>
      </w:r>
      <w:r>
        <w:rPr>
          <w:iCs/>
          <w:i/>
        </w:rPr>
        <w:t xml:space="preserve">K</w:t>
      </w:r>
      <w:r>
        <w:t xml:space="preserve"> </w:t>
      </w:r>
      <w:r>
        <w:t xml:space="preserve">= 4) rather than a monotone institutional gradient; the directional Exploratory Propositions E1a/E1b are not supported. cDAI (</w:t>
      </w:r>
      <w:r>
        <w:rPr>
          <w:iCs/>
          <w:i/>
        </w:rPr>
        <w:t xml:space="preserve">Q</w:t>
      </w:r>
      <w:r>
        <w:t xml:space="preserve">_M = 0.23,</w:t>
      </w:r>
      <w:r>
        <w:t xml:space="preserve"> </w:t>
      </w:r>
      <w:r>
        <w:rPr>
          <w:iCs/>
          <w:i/>
        </w:rPr>
        <w:t xml:space="preserve">p</w:t>
      </w:r>
      <w:r>
        <w:t xml:space="preserve"> </w:t>
      </w:r>
      <w:r>
        <w:t xml:space="preserve">= .893) and DPL phase (</w:t>
      </w:r>
      <w:r>
        <w:rPr>
          <w:iCs/>
          <w:i/>
        </w:rPr>
        <w:t xml:space="preserve">Q</w:t>
      </w:r>
      <w:r>
        <w:t xml:space="preserve">_M = 0.47,</w:t>
      </w:r>
      <w:r>
        <w:t xml:space="preserve"> </w:t>
      </w:r>
      <w:r>
        <w:rPr>
          <w:iCs/>
          <w:i/>
        </w:rPr>
        <w:t xml:space="preserve">p</w:t>
      </w:r>
      <w:r>
        <w:t xml:space="preserve"> </w:t>
      </w:r>
      <w:r>
        <w:t xml:space="preserve">= .789) are clearly non-significant (H2, H3 not supported). Publication-bias diagnostics are mixed: Begg's test and trim-and-fill (</w:t>
      </w:r>
      <w:r>
        <w:rPr>
          <w:iCs/>
          <w:i/>
        </w:rPr>
        <w:t xml:space="preserve">k</w:t>
      </w:r>
      <w:r>
        <w:t xml:space="preserve">₀ = 58 imputed; adjusted</w:t>
      </w:r>
      <w:r>
        <w:t xml:space="preserve"> </w:t>
      </w:r>
      <w:r>
        <w:rPr>
          <w:iCs/>
          <w:i/>
        </w:rPr>
        <w:t xml:space="preserve">r̄</w:t>
      </w:r>
      <w:r>
        <w:t xml:space="preserve"> </w:t>
      </w:r>
      <w:r>
        <w:t xml:space="preserve">= 0.041) indicate left-side asymmetry, whereas Egger's regression is only marginal (</w:t>
      </w:r>
      <w:r>
        <w:rPr>
          <w:iCs/>
          <w:i/>
        </w:rPr>
        <w:t xml:space="preserve">p</w:t>
      </w:r>
      <w:r>
        <w:t xml:space="preserve"> </w:t>
      </w:r>
      <w:r>
        <w:t xml:space="preserve">= .059). The heterogeneity puzzle (</w:t>
      </w:r>
      <w:r>
        <w:rPr>
          <w:iCs/>
          <w:i/>
        </w:rPr>
        <w:t xml:space="preserve">I</w:t>
      </w:r>
      <w:r>
        <w:t xml:space="preserve">² = 65.9%) remains unresolved by the tested moderators; critically, the variance decomposition shows that it is concentrated</w:t>
      </w:r>
      <w:r>
        <w:t xml:space="preserve"> </w:t>
      </w:r>
      <w:r>
        <w:rPr>
          <w:iCs/>
          <w:i/>
        </w:rPr>
        <w:t xml:space="preserve">within</w:t>
      </w:r>
      <w:r>
        <w:t xml:space="preserve"> </w:t>
      </w:r>
      <w:r>
        <w:t xml:space="preserve">primary studies (Level 2, 57.1%) far more than between studies (Level 3, 8.8%), pointing future work toward within-study analytic moderators rather than additional country-level contingencies.</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31"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 including human capital, technological capability, and digital infrastructure access — will generate higher performance returns from international expansion than resource-constrained peers. Wernerfelt's (1984) resource bundling logic further predicts that national digital infrastructure provides a coordination-enabling environment that amplifies the returns to firm-level resources: in high-cDAI environments, firms can deploy their existing technological and organizational capabilities across borders at lower per-unit cost, raising the marginal productivity return to each additional unit of international expansion. It is important to note that cDAI (country-level) is analytically distinct from firm-level digital adoption (DAI) and from firm-level technological capability (TCI), which the companion primary studies (P3–P8) treat as separate constructs with distinct measurement bases and theoretical roles. In the present meta-analytic study, only cDAI is operationalized as a study-level moderator; DAI and TCI remain within-study variables in the primary-study designs and are not separately extractable at meta-analytic resolution from the k = 278 corpus. The resource-bundling prediction for P6 therefore concerns whether a richer national digital environment raises the aggregate I→P effect across studies — a between-study moderation claim at the country level, not a within-study claim about firm-level capability bundles.</w:t>
      </w:r>
    </w:p>
    <w:p>
      <w:pPr>
        <w:pStyle w:val="BodyText"/>
      </w:pPr>
      <w:r>
        <w:rPr>
          <w:bCs/>
          <w:b/>
        </w:rPr>
        <w:t xml:space="preserve">Institutional Theory.</w:t>
      </w:r>
      <w:r>
        <w:t xml:space="preserve"> </w:t>
      </w:r>
      <w:r>
        <w:t xml:space="preserve">North's (1990) framework positions formal and informal institutions as the "rules of the game" that govern transaction costs. In the I→P context, higher institutional quality — measured through rule of law, contract enforcement, IP protection, and regulatory quality —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w:t>
      </w:r>
      <w:r>
        <w:t xml:space="preserve">— real-time digital communication across time zones reduces the bandwidth cost of coordinating dispersed operations; (b)</w:t>
      </w:r>
      <w:r>
        <w:t xml:space="preserve"> </w:t>
      </w:r>
      <w:r>
        <w:rPr>
          <w:iCs/>
          <w:i/>
        </w:rPr>
        <w:t xml:space="preserve">transaction cost reduction</w:t>
      </w:r>
      <w:r>
        <w:t xml:space="preserve"> </w:t>
      </w:r>
      <w:r>
        <w:t xml:space="preserve">— electronic payment systems and digital contracting reduce the cost and time of cross-border transactions; (c)</w:t>
      </w:r>
      <w:r>
        <w:t xml:space="preserve"> </w:t>
      </w:r>
      <w:r>
        <w:rPr>
          <w:iCs/>
          <w:i/>
        </w:rPr>
        <w:t xml:space="preserve">information asymmetry compression</w:t>
      </w:r>
      <w:r>
        <w:t xml:space="preserve"> </w:t>
      </w:r>
      <w:r>
        <w:t xml:space="preserve">— digital analytics platforms reduce the monitoring cost of verifying foreign partner performance. When national digital infrastructure is mature (high cDAI), all three channels operate simultaneously, predicting that the coordination cost mechanism — which generates the right-side decline of the inverted-U —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 the layers most widely measured in firm-level surveys —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 a between-study moderation claim, not a within-study mediation claim.</w:t>
      </w:r>
    </w:p>
    <w:bookmarkEnd w:id="22"/>
    <w:bookmarkStart w:id="23" w:name="Xf46903875c495d01a9c34f9a7eebd862b9d6417"/>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 the costs incurred by foreign firms that domestic rivals do not bear —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 environments where formal institutions are weak or absent —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between-regime heterogeneity in I→P effect sizes, with Advanced-regime studies expected to show the largest effects because all three CIMT mechanisms operate simultaneously at the institutional frontier. Prior meta-analyses have not adequately tested this institutional gradient because they lacked a fine-grained taxonomy that disaggregates the spectrum from Advanced Innovation economies to Frontier and SIDS contexts at sufficient resolution. Marano et al. (2016) used a six-category global classification that did not separate the Advanced/Upper-Middle/Emerging/Frontier spectrum examined here. The ICRV 5-regime taxonomy — anchored in World Bank World Governance Indicators (Rule of Law dimension, 2023 vintage) and applied to the full k = 278 global study corpus — provides the first classification capable of testing the CIMT between-regime prediction meta-analytically across economies ranging from Singapore (WGI +1.84) to Pakistan (WGI −0.55) and Iran (WGI −0.74).</w:t>
      </w:r>
    </w:p>
    <w:p>
      <w:pPr>
        <w:pStyle w:val="BodyText"/>
      </w:pPr>
      <w:r>
        <w:rPr>
          <w:bCs/>
          <w:b/>
        </w:rPr>
        <w:t xml:space="preserve">Hypothesis 1 (H1 — ICRV between-regime heterogeneity):</w:t>
      </w:r>
      <w:r>
        <w:t xml:space="preserve"> </w:t>
      </w:r>
      <w:r>
        <w:t xml:space="preserve">Pooled I→P effect sizes vary systematically across ICRV institutional regimes, with Advanced-regime studies expected to show the largest average effects, because formal institutions — contract enforcement, IP protection, and reduced liability of foreignness — amplify the productivity returns to international expansion through rent protection, LOF attenuation, and void-cost reduction (Khanna &amp; Palepu, 2010; North, 1990; Zaheer, 1995). Formally: the between-regime Q_M test for ICRV is statistically significant (</w:t>
      </w:r>
      <w:r>
        <w:rPr>
          <w:iCs/>
          <w:i/>
        </w:rPr>
        <w:t xml:space="preserve">p</w:t>
      </w:r>
      <w:r>
        <w:t xml:space="preserve"> </w:t>
      </w:r>
      <w:r>
        <w:t xml:space="preserve">&lt; .05), and the point estimate for Advanced-regime studies (ICRV-I) exceeds those for Emerging (ICRV-III) and Mixed-regime (MX) studies. The directional ordering among Frontier studies (ICRV-FR) is treated as an exploratory question pending adequate</w:t>
      </w:r>
      <w:r>
        <w:t xml:space="preserve"> </w:t>
      </w:r>
      <w:r>
        <w:rPr>
          <w:iCs/>
          <w:i/>
        </w:rPr>
        <w:t xml:space="preserve">k</w:t>
      </w:r>
      <w:r>
        <w:t xml:space="preserve"> </w:t>
      </w:r>
      <w:r>
        <w:t xml:space="preserve">in that group (see Exploratory Propositions 1a–1b).</w:t>
      </w:r>
    </w:p>
    <w:p>
      <w:pPr>
        <w:pStyle w:val="BodyText"/>
      </w:pPr>
      <w:r>
        <w:rPr>
          <w:iCs/>
          <w:i/>
        </w:rPr>
        <w:t xml:space="preserve">Exploratory Proposition 1a (E1a):</w:t>
      </w:r>
      <w:r>
        <w:t xml:space="preserve"> </w:t>
      </w:r>
      <w:r>
        <w:t xml:space="preserve">Studies drawing on Advanced-regime firms (ICRV-I) are expected to show the largest pooled I→P effect, reflecting simultaneous activation of the three CIMT rent-protection, LOF-attenuation, and void-elimination mechanisms. The direction of E1a is confirmatory; the magnitude is not pre-specified given heterogeneity in DOI measurement and performance construct across ICRV-I studies.</w:t>
      </w:r>
    </w:p>
    <w:p>
      <w:pPr>
        <w:pStyle w:val="BodyText"/>
      </w:pPr>
      <w:r>
        <w:rPr>
          <w:iCs/>
          <w:i/>
        </w:rPr>
        <w:t xml:space="preserve">Exploratory Proposition 1b (E1b):</w:t>
      </w:r>
      <w:r>
        <w:t xml:space="preserve"> </w:t>
      </w:r>
      <w:r>
        <w:t xml:space="preserve">Studies drawing on Frontier-regime firms (ICRV-FR) are expected to show the smallest — potentially null or negative — pooled I→P effect, reflecting the dominance of institutional void amplification costs over scale and learning returns. E1b is treated as exploratory rather than confirmatory because current Frontier-group</w:t>
      </w:r>
      <w:r>
        <w:t xml:space="preserve"> </w:t>
      </w:r>
      <w:r>
        <w:rPr>
          <w:iCs/>
          <w:i/>
        </w:rPr>
        <w:t xml:space="preserve">k</w:t>
      </w:r>
      <w:r>
        <w:t xml:space="preserve"> </w:t>
      </w:r>
      <w:r>
        <w:t xml:space="preserve">= 3 is insufficient for reliable inference (at α = .05, minimum k for stable random-effects moderation is typically k ≥ 10; Valentine et al., 2010).</w:t>
      </w:r>
    </w:p>
    <w:bookmarkEnd w:id="23"/>
    <w:bookmarkStart w:id="24" w:name="X0dd87f08f631afe120b28830786267d6834423c"/>
    <w:p>
      <w:pPr>
        <w:pStyle w:val="Heading3"/>
      </w:pPr>
      <w:r>
        <w:t xml:space="preserve">2.3 Digital Paradox Lifecycle (DPL —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 in organizational practices, worker skills, and infrastructure —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p>
    <w:p>
      <w:pPr>
        <w:numPr>
          <w:ilvl w:val="0"/>
          <w:numId w:val="1001"/>
        </w:numPr>
        <w:pStyle w:val="Compact"/>
      </w:pP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p>
    <w:p>
      <w:pPr>
        <w:numPr>
          <w:ilvl w:val="0"/>
          <w:numId w:val="1001"/>
        </w:numPr>
        <w:pStyle w:val="Compact"/>
      </w:pP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 platforms — including cloud-based logistics, B2B e-commerce, electronic payment systems, and digital trade finance —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FirstParagraph"/>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global inflection point for digital adoption in trade-oriented economies rather than an arbitrary choice; the Asia-Pacific region — home to roughly half of the k = 278 corpus — was a primary site of this diffusion.</w:t>
      </w:r>
    </w:p>
    <w:p>
      <w:pPr>
        <w:pStyle w:val="BodyText"/>
      </w:pPr>
      <w:r>
        <w:rPr>
          <w:bCs/>
          <w:b/>
        </w:rPr>
        <w:t xml:space="preserve">Hypothesis 2 (H2 — DPL phase):</w:t>
      </w:r>
      <w:r>
        <w:t xml:space="preserve"> </w:t>
      </w:r>
      <w:r>
        <w:t xml:space="preserve">Studies drawing predominantly on post-2014 data (DPL Follow phase) are expected to show larger pooled I→P effects than studies drawing on pre-2009 data (DPL Precede phase), because digital platforms had reached the maturity threshold at which coordination-cost compression systematically raises the net productivity return to international expansion (Brynjolfsson et al., 2021; David, 1990). Span-phase studies (data spanning 2005–2014) are expected to show intermediate effects, reflecting the transitional period in which digital infrastructure was building but complementary organizational 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 This prediction is bounded by the Brynjolfsson et al. (2021) J-curve logic: even if the DPL effect is real, the statistical precision of the</w:t>
      </w:r>
      <w:r>
        <w:t xml:space="preserve"> </w:t>
      </w:r>
      <w:r>
        <w:rPr>
          <w:iCs/>
          <w:i/>
        </w:rPr>
        <w:t xml:space="preserve">Q</w:t>
      </w:r>
      <w:r>
        <w:t xml:space="preserve">_M test depends on within-phase k and cross-phase variance in effect sizes — below approximately k = 30 per phase, the between-group test is underpowered for detection of moderate-size moderation (</w:t>
      </w:r>
      <w:r>
        <w:rPr>
          <w:iCs/>
          <w:i/>
        </w:rPr>
        <w:t xml:space="preserve">f</w:t>
      </w:r>
      <w:r>
        <w:t xml:space="preserve">² &lt; 0.10).</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 cDAI amplification):</w:t>
      </w:r>
      <w:r>
        <w:t xml:space="preserve"> </w:t>
      </w:r>
      <w:r>
        <w:t xml:space="preserve">Studies drawing on samples from high-cDAI national contexts are expected to show larger pooled I→P 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 .05), because mature national digital infrastructure reduces the per-unit coordination cost of cross-border expansion through the coordination platform effect (Stallkamp &amp; Schotter, 2021). The cDAI amplification is operationalized as a between-group comparison across three tiers (Low / Medium / High) classified from World Bank Digital Adoption Index and ITU ICT Development Index scores, rather than as a continuous meta-regression coefficient, because the study corpus does not yet provide sufficient within-tier variance for reliable continuous moderation estimation. The amplification is bounded by DPL phase: H3 is expected to be most consistently detectable in Follow-phase studies (post-2014), where national digital infrastructure has reached the maturity threshold necessary to function as an active coordination platform; in Precede-phase studies, high cDAI is not expected to amplify I→P because B2B digital trade infrastructure had not yet achieved critical mass regardless of country-level adoption scores.</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Selective reporting of statistically significant positive I→P results is expected to inflate the raw pooled effect relative to the true underlying population effect, because positive results are more likely to be published in the I→P literature (Borenstein et al., 2021; Dickersin, 1990). Three directional predictions follow: (H4a) Funnel-plot asymmetry tests (Egger's regression intercept, Begg's rank correlation) are expected to be statistically significant, indicating that smaller-sample studies show disproportionately large positive effects relative to the regression-estimated pooled mean; (H4b) Duval and Tweedie's (2000) trim-and-fill procedure is expected to impute missing studies on the left side of the funnel (suppressed null/negative results) and produce a bias-adjusted pooled estimate (</w:t>
      </w:r>
      <w:r>
        <w:rPr>
          <w:iCs/>
          <w:i/>
        </w:rPr>
        <w:t xml:space="preserve">r̄</w:t>
      </w:r>
      <w:r>
        <w:t xml:space="preserve">_adj) that is smaller than the raw estimate but remains positive (</w:t>
      </w:r>
      <w:r>
        <w:rPr>
          <w:iCs/>
          <w:i/>
        </w:rPr>
        <w:t xml:space="preserve">r̄</w:t>
      </w:r>
      <w:r>
        <w:t xml:space="preserve">_adj &gt; 0); (H4c) Orwin's (1983) fail-safe N is expected to substantially exceed the threshold of 2,000 studies required to reduce the pooled effect to a negligible level, confirming that the positive I→P effect is not an artifact of publication bias alone.</w:t>
      </w:r>
    </w:p>
    <w:bookmarkEnd w:id="26"/>
    <w:bookmarkStart w:id="30" w:name="X9f459728ae2c4e39aee69d49761868d88bce138"/>
    <w:p>
      <w:pPr>
        <w:pStyle w:val="Heading3"/>
      </w:pPr>
      <w:r>
        <w:t xml:space="preserve">2.6 Conceptual Model</w:t>
      </w:r>
    </w:p>
    <w:p>
      <w:pPr>
        <w:pStyle w:val="FirstParagraph"/>
      </w:pPr>
      <w:r>
        <w:drawing>
          <wp:inline>
            <wp:extent cx="5334000" cy="3439740"/>
            <wp:effectExtent b="0" l="0" r="0" t="0"/>
            <wp:docPr descr="Figure 1: Conceptual model —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334000" cy="3439740"/>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278 studies, K = 328 effects, r̄ = 0.076, 95% CI [0.063, 0.089]). Dashed arrows represent hypothesised moderating relationships. Three study-level constructs were tested as moderators: (1) ICRV Regime (H1) — hypothesised between-regime Q_M statistically significant; H1 marginally supported (Q_M = 9.46, p = .051; significant at the 10% but not 5% level); directional Exploratory Propositions E1a/E1b not supported (any departure is driven by a sparse Frontier cell, K = 4). (2) cDAI — Country Digital Adoption Index (H3) — hypothesised positive amplification [High &gt; Low]; actual Q_M = 0.23 (p = .893), H3 not supported. (3) DPL Phase (H2) — hypothesised Follow &gt; Precede; actual Q_M = 0.47 (p = .789), H2 not supported. The three-level model nests K = 328 effects within k = 278 studies; the within-study level dominates the variance (σ²_(2) = 0.00888, I²_(2) = 57.1%) relative to the between-study level (σ²_(3) = 0.00137, I²_(3) = 8.8%); total I² = 65.9%. Publication bias (H4 partial): Begg's τ = −0.119 (p = .001) and trim-and-fill (k₀ = 58 imputed, adjusted r = 0.041) indicate asymmetry, while Egger's regression is marginal (b = 0.434, p = .059); fail-safe N = 81,712.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30"/>
    <w:bookmarkEnd w:id="31"/>
    <w:bookmarkStart w:id="43"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33"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 including the search string, eligibility decision rules, moderator coding instructions, and planned metafor model specifications — was pre-registered on OSF prior to effect-size extraction (PRISMA 2020, Item 24a):</w:t>
      </w:r>
      <w:r>
        <w:t xml:space="preserve"> </w:t>
      </w:r>
      <w:hyperlink r:id="rId32">
        <w:r>
          <w:rPr>
            <w:rStyle w:val="Hyperlink"/>
          </w:rPr>
          <w:t xml:space="preserve">https://osf.io/z37kn</w:t>
        </w:r>
      </w:hyperlink>
      <w:r>
        <w:t xml:space="preserve"> </w:t>
      </w:r>
      <w:r>
        <w:t xml:space="preserve">(DOI: 10.17605/OSF.IO/Z37KN; registered May 18, 2026).</w:t>
      </w:r>
    </w:p>
    <w:bookmarkEnd w:id="33"/>
    <w:bookmarkStart w:id="34"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 (WoS + Scopus confirmed, 20 May 2026).</w:t>
      </w:r>
      <w:r>
        <w:t xml:space="preserve"> </w:t>
      </w:r>
      <w:r>
        <w:t xml:space="preserve">Records identified from WoS Core Collection:</w:t>
      </w:r>
      <w:r>
        <w:t xml:space="preserve"> </w:t>
      </w:r>
      <w:r>
        <w:rPr>
          <w:iCs/>
          <w:i/>
        </w:rPr>
        <w:t xml:space="preserve">n</w:t>
      </w:r>
      <w:r>
        <w:t xml:space="preserve"> </w:t>
      </w:r>
      <w:r>
        <w:t xml:space="preserve">= 2,180 (Starter API, 18 May 2026; SSCI + SCI-E + ESCI, 1977–2026) + Scopus:</w:t>
      </w:r>
      <w:r>
        <w:t xml:space="preserve"> </w:t>
      </w:r>
      <w:r>
        <w:rPr>
          <w:iCs/>
          <w:i/>
        </w:rPr>
        <w:t xml:space="preserve">n</w:t>
      </w:r>
      <w:r>
        <w:t xml:space="preserve"> </w:t>
      </w:r>
      <w:r>
        <w:t xml:space="preserve">= 1,083 (All Subject Areas, 1977–2026). Total from databases:</w:t>
      </w:r>
      <w:r>
        <w:t xml:space="preserve"> </w:t>
      </w:r>
      <w:r>
        <w:rPr>
          <w:iCs/>
          <w:i/>
        </w:rPr>
        <w:t xml:space="preserve">n</w:t>
      </w:r>
      <w:r>
        <w:t xml:space="preserve"> </w:t>
      </w:r>
      <w:r>
        <w:t xml:space="preserve">= 3,263. After cross-database deduplication (DOI-exact + title-fuzzy ≥85%):</w:t>
      </w:r>
      <w:r>
        <w:t xml:space="preserve"> </w:t>
      </w:r>
      <w:r>
        <w:rPr>
          <w:iCs/>
          <w:i/>
        </w:rPr>
        <w:t xml:space="preserve">n</w:t>
      </w:r>
      <w:r>
        <w:t xml:space="preserve"> </w:t>
      </w:r>
      <w:r>
        <w:t xml:space="preserve">= 2,468 unique records (795 duplicates removed); 435 already in existing tracker (prior database); 2,032 new candidates for L2 screening (1,512 with DOI via CrossRef enrichment; 520 requiring manual full-text retrieval). Working file:</w:t>
      </w:r>
      <w:r>
        <w:t xml:space="preserve"> </w:t>
      </w:r>
      <w:r>
        <w:rPr>
          <w:rStyle w:val="VerbatimChar"/>
        </w:rPr>
        <w:t xml:space="preserve">fulltext_to_extraction_tracker_v3.csv</w:t>
      </w:r>
      <w:r>
        <w:t xml:space="preserve"> </w:t>
      </w:r>
      <w:r>
        <w:t xml:space="preserve">(2,467 rows × 58 cols). After automated within-WoS deduplication:</w:t>
      </w:r>
      <w:r>
        <w:t xml:space="preserve"> </w:t>
      </w:r>
      <w:r>
        <w:rPr>
          <w:iCs/>
          <w:i/>
        </w:rPr>
        <w:t xml:space="preserve">n</w:t>
      </w:r>
      <w:r>
        <w:t xml:space="preserve"> </w:t>
      </w:r>
      <w:r>
        <w:t xml:space="preserve">= 2,179 (1 duplicate removed). Level-1 keyword pre-screen (title-signal filtering):</w:t>
      </w:r>
      <w:r>
        <w:t xml:space="preserve"> </w:t>
      </w:r>
      <w:r>
        <w:rPr>
          <w:iCs/>
          <w:i/>
        </w:rPr>
        <w:t xml:space="preserve">n</w:t>
      </w:r>
      <w:r>
        <w:t xml:space="preserve"> </w:t>
      </w:r>
      <w:r>
        <w:t xml:space="preserve">= 782 records advanced to Level-2;</w:t>
      </w:r>
      <w:r>
        <w:t xml:space="preserve"> </w:t>
      </w:r>
      <w:r>
        <w:rPr>
          <w:iCs/>
          <w:i/>
        </w:rPr>
        <w:t xml:space="preserve">n</w:t>
      </w:r>
      <w:r>
        <w:t xml:space="preserve"> </w:t>
      </w:r>
      <w:r>
        <w:t xml:space="preserve">= 1,397 excluded (title clearly outside I→P domain). Level-2 title screen of 782 records (18 May 2026):</w:t>
      </w:r>
      <w:r>
        <w:t xml:space="preserve"> </w:t>
      </w:r>
      <w:r>
        <w:rPr>
          <w:iCs/>
          <w:i/>
        </w:rPr>
        <w:t xml:space="preserve">n</w:t>
      </w:r>
      <w:r>
        <w:t xml:space="preserve"> </w:t>
      </w:r>
      <w:r>
        <w:t xml:space="preserve">= 345 Y,</w:t>
      </w:r>
      <w:r>
        <w:t xml:space="preserve"> </w:t>
      </w:r>
      <w:r>
        <w:rPr>
          <w:iCs/>
          <w:i/>
        </w:rPr>
        <w:t xml:space="preserve">n</w:t>
      </w:r>
      <w:r>
        <w:t xml:space="preserve"> </w:t>
      </w:r>
      <w:r>
        <w:t xml:space="preserve">= 35 N,</w:t>
      </w:r>
      <w:r>
        <w:t xml:space="preserve"> </w:t>
      </w:r>
      <w:r>
        <w:rPr>
          <w:iCs/>
          <w:i/>
        </w:rPr>
        <w:t xml:space="preserve">n</w:t>
      </w:r>
      <w:r>
        <w:t xml:space="preserve"> </w:t>
      </w:r>
      <w:r>
        <w:t xml:space="preserve">= 402 UNSURE. UNSURE title-only re-screen (two rounds): Round 1 (script</w:t>
      </w:r>
      <w:r>
        <w:t xml:space="preserve"> </w:t>
      </w:r>
      <w:r>
        <w:rPr>
          <w:rStyle w:val="VerbatimChar"/>
        </w:rPr>
        <w:t xml:space="preserve">14_resolve_unsure_titles.py</w:t>
      </w:r>
      <w:r>
        <w:t xml:space="preserve">):</w:t>
      </w:r>
      <w:r>
        <w:t xml:space="preserve"> </w:t>
      </w:r>
      <w:r>
        <w:rPr>
          <w:iCs/>
          <w:i/>
        </w:rPr>
        <w:t xml:space="preserve">n</w:t>
      </w:r>
      <w:r>
        <w:t xml:space="preserve"> </w:t>
      </w:r>
      <w:r>
        <w:t xml:space="preserve">= 135 resolved Y (129 genuinely new after dedup vs. existing</w:t>
      </w:r>
      <w:r>
        <w:t xml:space="preserve"> </w:t>
      </w:r>
      <w:r>
        <w:rPr>
          <w:iCs/>
          <w:i/>
        </w:rPr>
        <w:t xml:space="preserve">k</w:t>
      </w:r>
      <w:r>
        <w:t xml:space="preserve"> </w:t>
      </w:r>
      <w:r>
        <w:t xml:space="preserve">= 287; 6 duplicates),</w:t>
      </w:r>
      <w:r>
        <w:t xml:space="preserve"> </w:t>
      </w:r>
      <w:r>
        <w:rPr>
          <w:iCs/>
          <w:i/>
        </w:rPr>
        <w:t xml:space="preserve">n</w:t>
      </w:r>
      <w:r>
        <w:t xml:space="preserve"> </w:t>
      </w:r>
      <w:r>
        <w:t xml:space="preserve">= 3 resolved N,</w:t>
      </w:r>
      <w:r>
        <w:t xml:space="preserve"> </w:t>
      </w:r>
      <w:r>
        <w:rPr>
          <w:iCs/>
          <w:i/>
        </w:rPr>
        <w:t xml:space="preserve">n</w:t>
      </w:r>
      <w:r>
        <w:t xml:space="preserve"> </w:t>
      </w:r>
      <w:r>
        <w:t xml:space="preserve">= 263 still UNSURE. Round 2 (script</w:t>
      </w:r>
      <w:r>
        <w:t xml:space="preserve"> </w:t>
      </w:r>
      <w:r>
        <w:rPr>
          <w:rStyle w:val="VerbatimChar"/>
        </w:rPr>
        <w:t xml:space="preserve">18_resolve_unsure_round2.py</w:t>
      </w:r>
      <w:r>
        <w:t xml:space="preserve">, two-tier rule expansion — hard antecedent/theory exclusions applied before I→P performance detection):</w:t>
      </w:r>
      <w:r>
        <w:t xml:space="preserve"> </w:t>
      </w:r>
      <w:r>
        <w:rPr>
          <w:iCs/>
          <w:i/>
        </w:rPr>
        <w:t xml:space="preserve">n</w:t>
      </w:r>
      <w:r>
        <w:t xml:space="preserve"> </w:t>
      </w:r>
      <w:r>
        <w:t xml:space="preserve">= 30 resolved Y (all genuinely new),</w:t>
      </w:r>
      <w:r>
        <w:t xml:space="preserve"> </w:t>
      </w:r>
      <w:r>
        <w:rPr>
          <w:iCs/>
          <w:i/>
        </w:rPr>
        <w:t xml:space="preserve">n</w:t>
      </w:r>
      <w:r>
        <w:t xml:space="preserve"> </w:t>
      </w:r>
      <w:r>
        <w:t xml:space="preserve">= 29 resolved N,</w:t>
      </w:r>
      <w:r>
        <w:t xml:space="preserve"> </w:t>
      </w:r>
      <w:r>
        <w:rPr>
          <w:iCs/>
          <w:i/>
        </w:rPr>
        <w:t xml:space="preserve">n</w:t>
      </w:r>
      <w:r>
        <w:t xml:space="preserve"> </w:t>
      </w:r>
      <w:r>
        <w:t xml:space="preserve">= 204 still UNSURE. Round 3 (script</w:t>
      </w:r>
      <w:r>
        <w:t xml:space="preserve"> </w:t>
      </w:r>
      <w:r>
        <w:rPr>
          <w:rStyle w:val="VerbatimChar"/>
        </w:rPr>
        <w:t xml:space="preserve">20_resolve_unsure_round3.py</w:t>
      </w:r>
      <w:r>
        <w:t xml:space="preserve">, extended HARD_EXCL and STRONG_INCL patterns — added innovation-as-DV, employment/macro DVs, born-global theory, survival/growth INCL patterns):</w:t>
      </w:r>
      <w:r>
        <w:t xml:space="preserve"> </w:t>
      </w:r>
      <w:r>
        <w:rPr>
          <w:iCs/>
          <w:i/>
        </w:rPr>
        <w:t xml:space="preserve">n</w:t>
      </w:r>
      <w:r>
        <w:t xml:space="preserve"> </w:t>
      </w:r>
      <w:r>
        <w:t xml:space="preserve">= 25 resolved Y (all genuinely new),</w:t>
      </w:r>
      <w:r>
        <w:t xml:space="preserve"> </w:t>
      </w:r>
      <w:r>
        <w:rPr>
          <w:iCs/>
          <w:i/>
        </w:rPr>
        <w:t xml:space="preserve">n</w:t>
      </w:r>
      <w:r>
        <w:t xml:space="preserve"> </w:t>
      </w:r>
      <w:r>
        <w:t xml:space="preserve">= 43 resolved N,</w:t>
      </w:r>
      <w:r>
        <w:t xml:space="preserve"> </w:t>
      </w:r>
      <w:r>
        <w:rPr>
          <w:iCs/>
          <w:i/>
        </w:rPr>
        <w:t xml:space="preserve">n</w:t>
      </w:r>
      <w:r>
        <w:t xml:space="preserve"> </w:t>
      </w:r>
      <w:r>
        <w:t xml:space="preserve">= 136 still UNSURE (abstract required to resolve). Round 4 (script</w:t>
      </w:r>
      <w:r>
        <w:t xml:space="preserve"> </w:t>
      </w:r>
      <w:r>
        <w:rPr>
          <w:rStyle w:val="VerbatimChar"/>
        </w:rPr>
        <w:t xml:space="preserve">22_resolve_unsure_round4.py</w:t>
      </w:r>
      <w:r>
        <w:t xml:space="preserve">, further HARD_EXCL extensions — capital structure, location strategy, antecedent/determinant language; STRONG_INCL — performance consequences, optimal multinationality deviations, over-internationalization reduction, OFDI home transformation, crisis resilience):</w:t>
      </w:r>
      <w:r>
        <w:t xml:space="preserve"> </w:t>
      </w:r>
      <w:r>
        <w:rPr>
          <w:iCs/>
          <w:i/>
        </w:rPr>
        <w:t xml:space="preserve">n</w:t>
      </w:r>
      <w:r>
        <w:t xml:space="preserve"> </w:t>
      </w:r>
      <w:r>
        <w:t xml:space="preserve">= 15 resolved Y (all genuinely new),</w:t>
      </w:r>
      <w:r>
        <w:t xml:space="preserve"> </w:t>
      </w:r>
      <w:r>
        <w:rPr>
          <w:iCs/>
          <w:i/>
        </w:rPr>
        <w:t xml:space="preserve">n</w:t>
      </w:r>
      <w:r>
        <w:t xml:space="preserve"> </w:t>
      </w:r>
      <w:r>
        <w:t xml:space="preserve">= 34 resolved N,</w:t>
      </w:r>
      <w:r>
        <w:t xml:space="preserve"> </w:t>
      </w:r>
      <w:r>
        <w:rPr>
          <w:iCs/>
          <w:i/>
        </w:rPr>
        <w:t xml:space="preserve">n</w:t>
      </w:r>
      <w:r>
        <w:t xml:space="preserve"> </w:t>
      </w:r>
      <w:r>
        <w:t xml:space="preserve">= 87 still UNSURE. Round 5 (title-only screening pass by first author, 19 May 2026, applying additional HARD_EXCL patterns: born-global-as-DV, determinants-of-exporting frames, EO-as-DV, health/psychology journals):</w:t>
      </w:r>
      <w:r>
        <w:t xml:space="preserve"> </w:t>
      </w:r>
      <w:r>
        <w:rPr>
          <w:iCs/>
          <w:i/>
        </w:rPr>
        <w:t xml:space="preserve">n</w:t>
      </w:r>
      <w:r>
        <w:t xml:space="preserve"> </w:t>
      </w:r>
      <w:r>
        <w:t xml:space="preserve">= 4 resolved Y,</w:t>
      </w:r>
      <w:r>
        <w:t xml:space="preserve"> </w:t>
      </w:r>
      <w:r>
        <w:rPr>
          <w:iCs/>
          <w:i/>
        </w:rPr>
        <w:t xml:space="preserve">n</w:t>
      </w:r>
      <w:r>
        <w:t xml:space="preserve"> </w:t>
      </w:r>
      <w:r>
        <w:t xml:space="preserve">= 11 resolved N,</w:t>
      </w:r>
      <w:r>
        <w:t xml:space="preserve"> </w:t>
      </w:r>
      <w:r>
        <w:rPr>
          <w:iCs/>
          <w:i/>
        </w:rPr>
        <w:t xml:space="preserve">n</w:t>
      </w:r>
      <w:r>
        <w:t xml:space="preserve"> </w:t>
      </w:r>
      <w:r>
        <w:t xml:space="preserve">= 72 still UNSURE. Round 6 (title-only screening pass by first author, 19 May 2026, extended pattern matching on remaining 72 titles):</w:t>
      </w:r>
      <w:r>
        <w:t xml:space="preserve"> </w:t>
      </w:r>
      <w:r>
        <w:rPr>
          <w:iCs/>
          <w:i/>
        </w:rPr>
        <w:t xml:space="preserve">n</w:t>
      </w:r>
      <w:r>
        <w:t xml:space="preserve"> </w:t>
      </w:r>
      <w:r>
        <w:t xml:space="preserve">= 8 resolved Y (all genuinely new),</w:t>
      </w:r>
      <w:r>
        <w:t xml:space="preserve"> </w:t>
      </w:r>
      <w:r>
        <w:rPr>
          <w:iCs/>
          <w:i/>
        </w:rPr>
        <w:t xml:space="preserve">n</w:t>
      </w:r>
      <w:r>
        <w:t xml:space="preserve"> </w:t>
      </w:r>
      <w:r>
        <w:t xml:space="preserve">= 46 resolved N,</w:t>
      </w:r>
      <w:r>
        <w:t xml:space="preserve"> </w:t>
      </w:r>
      <w:r>
        <w:rPr>
          <w:iCs/>
          <w:i/>
        </w:rPr>
        <w:t xml:space="preserve">n</w:t>
      </w:r>
      <w:r>
        <w:t xml:space="preserve"> </w:t>
      </w:r>
      <w:r>
        <w:t xml:space="preserve">= 18 still UNSURE. Round 7 (title-only pass 19 May 2026, manual signals: book-chapter DOI, single-case titles, antecedent-DV language, non-business journals):</w:t>
      </w:r>
      <w:r>
        <w:t xml:space="preserve"> </w:t>
      </w:r>
      <w:r>
        <w:rPr>
          <w:iCs/>
          <w:i/>
        </w:rPr>
        <w:t xml:space="preserve">n</w:t>
      </w:r>
      <w:r>
        <w:t xml:space="preserve"> </w:t>
      </w:r>
      <w:r>
        <w:t xml:space="preserve">= 0 resolved Y,</w:t>
      </w:r>
      <w:r>
        <w:t xml:space="preserve"> </w:t>
      </w:r>
      <w:r>
        <w:rPr>
          <w:iCs/>
          <w:i/>
        </w:rPr>
        <w:t xml:space="preserve">n</w:t>
      </w:r>
      <w:r>
        <w:t xml:space="preserve"> </w:t>
      </w:r>
      <w:r>
        <w:t xml:space="preserve">= 8 resolved N (book chapter, single case study, antecedent/EO development DV, conceptual perspective, industry-cluster macro unit,</w:t>
      </w:r>
      <w:r>
        <w:t xml:space="preserve"> </w:t>
      </w:r>
      <w:r>
        <w:rPr>
          <w:iCs/>
          <w:i/>
        </w:rPr>
        <w:t xml:space="preserve">n</w:t>
      </w:r>
      <w:r>
        <w:t xml:space="preserve"> </w:t>
      </w:r>
      <w:r>
        <w:t xml:space="preserve">= 6 descriptive),</w:t>
      </w:r>
      <w:r>
        <w:t xml:space="preserve"> </w:t>
      </w:r>
      <w:r>
        <w:rPr>
          <w:iCs/>
          <w:i/>
        </w:rPr>
        <w:t xml:space="preserve">n</w:t>
      </w:r>
      <w:r>
        <w:t xml:space="preserve"> </w:t>
      </w:r>
      <w:r>
        <w:t xml:space="preserve">= 10 still UNSURE. Round 8 (WebSearch-assisted abstract retrieval pass, 19 May 2026, applying I→P eligibility criteria to all 10 remaining UNSURE records):</w:t>
      </w:r>
      <w:r>
        <w:t xml:space="preserve"> </w:t>
      </w:r>
      <w:r>
        <w:rPr>
          <w:iCs/>
          <w:i/>
        </w:rPr>
        <w:t xml:space="preserve">n</w:t>
      </w:r>
      <w:r>
        <w:t xml:space="preserve"> </w:t>
      </w:r>
      <w:r>
        <w:t xml:space="preserve">= 3 resolved Y (S0129 — India textile Born Globals I→P M-curve; S0240 — SME internationalization speed → firm performance with organizational learning mediator; S0683 — Latin American EMNEs multinationality → performance with business group diversification moderator),</w:t>
      </w:r>
      <w:r>
        <w:t xml:space="preserve"> </w:t>
      </w:r>
      <w:r>
        <w:rPr>
          <w:iCs/>
          <w:i/>
        </w:rPr>
        <w:t xml:space="preserve">n</w:t>
      </w:r>
      <w:r>
        <w:t xml:space="preserve"> </w:t>
      </w:r>
      <w:r>
        <w:t xml:space="preserve">= 7 resolved N (cross-border R&amp;D knowledge sourcing/non-standard I measure; exporting-as-DV antecedent study; innovation-exports nexus/wrong DV; game-theory M&amp;A paper; family firm acquisition propensity/DV; MNE expansion patterns/DV; spillover study/domestic focal unit),</w:t>
      </w:r>
      <w:r>
        <w:t xml:space="preserve"> </w:t>
      </w:r>
      <w:r>
        <w:rPr>
          <w:iCs/>
          <w:i/>
        </w:rPr>
        <w:t xml:space="preserve">n</w:t>
      </w:r>
      <w:r>
        <w:t xml:space="preserve"> </w:t>
      </w:r>
      <w:r>
        <w:t xml:space="preserve">= 0 still UNSURE. Total L2 Y (WoS arm):</w:t>
      </w:r>
      <w:r>
        <w:t xml:space="preserve"> </w:t>
      </w:r>
      <w:r>
        <w:rPr>
          <w:iCs/>
          <w:i/>
        </w:rPr>
        <w:t xml:space="preserve">n</w:t>
      </w:r>
      <w:r>
        <w:t xml:space="preserve"> </w:t>
      </w:r>
      <w:r>
        <w:t xml:space="preserve">= 565 (= 345 + 135 + 30 + 25 + 15 + 4 + 8 + 0 + 3). Active extraction pool:</w:t>
      </w:r>
      <w:r>
        <w:t xml:space="preserve"> </w:t>
      </w:r>
      <w:r>
        <w:rPr>
          <w:iCs/>
          <w:i/>
        </w:rPr>
        <w:t xml:space="preserve">n</w:t>
      </w:r>
      <w:r>
        <w:t xml:space="preserve"> </w:t>
      </w:r>
      <w:r>
        <w:t xml:space="preserve">= 535 records reviewed;</w:t>
      </w:r>
      <w:r>
        <w:t xml:space="preserve"> </w:t>
      </w:r>
      <w:r>
        <w:rPr>
          <w:bCs/>
          <w:b/>
        </w:rPr>
        <w:t xml:space="preserve">eligible for extraction</w:t>
      </w:r>
      <w:r>
        <w:t xml:space="preserve">:</w:t>
      </w:r>
      <w:r>
        <w:t xml:space="preserve"> </w:t>
      </w:r>
      <w:r>
        <w:rPr>
          <w:iCs/>
          <w:i/>
        </w:rPr>
        <w:t xml:space="preserve">n</w:t>
      </w:r>
      <w:r>
        <w:t xml:space="preserve"> </w:t>
      </w:r>
      <w:r>
        <w:t xml:space="preserve">= 435 (rule-based pre-screen v5, 19 May 2026: Y = 435 [81.3%], N = 100 [18.7%], UNSURE = 0); canonical working file:</w:t>
      </w:r>
      <w:r>
        <w:t xml:space="preserve"> </w:t>
      </w:r>
      <w:r>
        <w:rPr>
          <w:rStyle w:val="VerbatimChar"/>
        </w:rPr>
        <w:t xml:space="preserve">fulltext_to_extraction_tracker_v3.csv</w:t>
      </w:r>
      <w:r>
        <w:t xml:space="preserve"> </w:t>
      </w:r>
      <w:r>
        <w:t xml:space="preserve">(2,467 rows × 58 cols; as at 21 May 2026: Y=674, N=728 [N=329 title/content exclusions, N_abstract=151 auto-excluded from S2 abstracts, N_title=248 prior title-only exclusions], UNSURE=1,065 pending abstract retrieval via Semantic Scholar API; ready_for_r=3 [seqs 477, 1549, 1753]). Additional ICRV auto-coding (script</w:t>
      </w:r>
      <w:r>
        <w:t xml:space="preserve"> </w:t>
      </w:r>
      <w:r>
        <w:rPr>
          <w:rStyle w:val="VerbatimChar"/>
        </w:rPr>
        <w:t xml:space="preserve">51_icrv_from_s2_affiliations.py</w:t>
      </w:r>
      <w:r>
        <w:t xml:space="preserve">) resolved 17 of 370 blank-ICRV Y papers via title keyword and affiliation detection; 267 remain unresolved pending manual assignment or full-text review. Abstract retrieval for 757 UNSURE papers (script</w:t>
      </w:r>
      <w:r>
        <w:t xml:space="preserve"> </w:t>
      </w:r>
      <w:r>
        <w:rPr>
          <w:rStyle w:val="VerbatimChar"/>
        </w:rPr>
        <w:t xml:space="preserve">50_fetch_s2_abstracts_unsure.py</w:t>
      </w:r>
      <w:r>
        <w:t xml:space="preserve">) in progress; N decisions from abstract screening will be applied via</w:t>
      </w:r>
      <w:r>
        <w:t xml:space="preserve"> </w:t>
      </w:r>
      <w:r>
        <w:rPr>
          <w:rStyle w:val="VerbatimChar"/>
        </w:rPr>
        <w:t xml:space="preserve">53_apply_s2_auto_screen.py</w:t>
      </w:r>
      <w:r>
        <w:t xml:space="preserve"> </w:t>
      </w:r>
      <w:r>
        <w:t xml:space="preserve">to further reduce UNSURE count. Final included</w:t>
      </w:r>
      <w:r>
        <w:t xml:space="preserve"> </w:t>
      </w:r>
      <w:r>
        <w:rPr>
          <w:iCs/>
          <w:i/>
        </w:rPr>
        <w:t xml:space="preserve">k</w:t>
      </w:r>
      <w:r>
        <w:t xml:space="preserve"> </w:t>
      </w:r>
      <w:r>
        <w:t xml:space="preserve">= TBD;</w:t>
      </w:r>
      <w:r>
        <w:t xml:space="preserve"> </w:t>
      </w:r>
      <w:r>
        <w:rPr>
          <w:iCs/>
          <w:i/>
        </w:rPr>
        <w:t xml:space="preserve">K</w:t>
      </w:r>
      <w:r>
        <w:t xml:space="preserve"> </w:t>
      </w:r>
      <w:r>
        <w:t xml:space="preserve">= TBD (pending effect-size extraction from full-text PDFs). Detailed exclusion reasons at each screening stage are reported in Appendix A (PRISMA 2020 flow diagram). The current analytic database (</w:t>
      </w:r>
      <w:r>
        <w:rPr>
          <w:iCs/>
          <w:i/>
        </w:rPr>
        <w:t xml:space="preserve">k</w:t>
      </w:r>
      <w:r>
        <w:t xml:space="preserve"> </w:t>
      </w:r>
      <w:r>
        <w:t xml:space="preserve">= 278 coded studies;</w:t>
      </w:r>
      <w:r>
        <w:t xml:space="preserve"> </w:t>
      </w:r>
      <w:r>
        <w:rPr>
          <w:iCs/>
          <w:i/>
        </w:rPr>
        <w:t xml:space="preserve">K</w:t>
      </w:r>
      <w:r>
        <w:t xml:space="preserve"> </w:t>
      </w:r>
      <w:r>
        <w:t xml:space="preserve">= 328 effect sizes;</w:t>
      </w:r>
      <w:r>
        <w:t xml:space="preserve"> </w:t>
      </w:r>
      <w:r>
        <w:rPr>
          <w:rStyle w:val="VerbatimChar"/>
        </w:rPr>
        <w:t xml:space="preserve">p6_study_database_v2.csv</w:t>
      </w:r>
      <w:r>
        <w:t xml:space="preserve">) assembled from backward-citation screening, hand-search, and ongoing full-text extraction constitutes the working baseline; counts will be finalised when the formal Scopus search and remaining extractions are complete.</w:t>
      </w:r>
    </w:p>
    <w:bookmarkEnd w:id="34"/>
    <w:bookmarkStart w:id="38" w:name="X1d41e663e785934d4feadbd21b81f03c51339a8"/>
    <w:p>
      <w:pPr>
        <w:pStyle w:val="Heading3"/>
      </w:pPr>
      <w:r>
        <w:t xml:space="preserve">3.3 Data Extraction and Quality Assurance</w:t>
      </w:r>
    </w:p>
    <w:bookmarkStart w:id="35"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([blinded]),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§3.3.2.</w:t>
      </w:r>
    </w:p>
    <w:bookmarkEnd w:id="35"/>
    <w:bookmarkStart w:id="36" w:name="X8e0743bf85a4a1c5fca32f939ca3f33e412fd3d"/>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 "substantial agreement" criterion, which represents the minimum acceptable level for meta-analytic coding in IB research (Aguinis et al., 2011). ICR statistics are reported in Table 3.1 (see Results, §4.1); all targets were met prior to commencing coding of the remaining 80% of the corpus.</w:t>
      </w:r>
    </w:p>
    <w:bookmarkEnd w:id="36"/>
    <w:bookmarkStart w:id="37" w:name="X5be2e0a2ca6cb65463b6962be6810bfed28508c"/>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 publication bias, omitted-variable bias, and measurement heterogeneity in the DOI operationalization — are addressed at the synthesis level rather than the study level. Publication bias is assessed via Egger's regression test, Begg and Mazumdar's (1994) rank-correlation test, and Duval and Tweedie's (2000) trim-and-fill procedure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7"/>
    <w:bookmarkEnd w:id="38"/>
    <w:bookmarkStart w:id="39"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w:t>
      </w:r>
      <w:r>
        <w:t xml:space="preserve">— ISO 3166-1 alpha-3 code; multi-country studies coded as "pooled" with ICRV regime assigned to the modal country if one country contributes ≥ 60% of the sample, otherwise coded as "cross-regime"</w:t>
      </w:r>
    </w:p>
    <w:p>
      <w:pPr>
        <w:numPr>
          <w:ilvl w:val="0"/>
          <w:numId w:val="1002"/>
        </w:numPr>
        <w:pStyle w:val="Compact"/>
      </w:pPr>
      <w:r>
        <w:rPr>
          <w:iCs/>
          <w:i/>
        </w:rPr>
        <w:t xml:space="preserve">Industry sector</w:t>
      </w:r>
      <w:r>
        <w:t xml:space="preserve"> </w:t>
      </w:r>
      <w:r>
        <w:t xml:space="preserve">— SIC broad division: manufacturing (SIC 20–39), services (SIC 40–89), or mixed/unspecified</w:t>
      </w:r>
    </w:p>
    <w:p>
      <w:pPr>
        <w:numPr>
          <w:ilvl w:val="0"/>
          <w:numId w:val="1002"/>
        </w:numPr>
        <w:pStyle w:val="Compact"/>
      </w:pPr>
      <w:r>
        <w:rPr>
          <w:iCs/>
          <w:i/>
        </w:rPr>
        <w:t xml:space="preserve">DOI operationalization</w:t>
      </w:r>
      <w:r>
        <w:t xml:space="preserve"> </w:t>
      </w:r>
      <w:r>
        <w:t xml:space="preserve">— FSTS (foreign sales ÷ total sales); entropy index (Jacquemin &amp; Berry, 1979); count of foreign markets or subsidiaries; transnationality index (UNCTAD composite)</w:t>
      </w:r>
    </w:p>
    <w:p>
      <w:pPr>
        <w:numPr>
          <w:ilvl w:val="0"/>
          <w:numId w:val="1002"/>
        </w:numPr>
        <w:pStyle w:val="Compact"/>
      </w:pPr>
      <w:r>
        <w:rPr>
          <w:iCs/>
          <w:i/>
        </w:rPr>
        <w:t xml:space="preserve">Performance operationalization</w:t>
      </w:r>
      <w:r>
        <w:t xml:space="preserve"> </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Frontier/SIDS (WGI ≤ −0.50 or small island developing state, e.g., Bangladesh, Myanmar, Fiji, Pacific island economies); Code MX: Multi-country pooled samples spanning two or more ICRV regimes (no single modal-country regime ≥ 60% of sample)</w:t>
      </w:r>
      <w:r>
        <w:t xml:space="preserve"> </w:t>
      </w:r>
      <w:r>
        <w:t xml:space="preserve">6.</w:t>
      </w:r>
      <w:r>
        <w:t xml:space="preserve"> </w:t>
      </w:r>
      <w:r>
        <w:rPr>
          <w:iCs/>
          <w:i/>
        </w:rPr>
        <w:t xml:space="preserve">cDAI</w:t>
      </w:r>
      <w:r>
        <w:t xml:space="preserve"> </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w:t>
      </w:r>
      <w:r>
        <w:t xml:space="preserve">— "Precede": data collection predominantly prior to 2009 (median data year &lt; 2009); "Span": data collection spans 2005–2014 or cannot be classified as predominantly Precede or Follow; "Follow": data collection predominantly post-2014 (median data year ≥ 2015). Studies where data years cannot be determined from the paper are coded as "Span" by default and flagged.</w:t>
      </w:r>
    </w:p>
    <w:bookmarkEnd w:id="39"/>
    <w:bookmarkStart w:id="40"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40"/>
    <w:bookmarkStart w:id="41" w:name="X2f1abb1755f8cc5892d8e5725c0dbd361d50806"/>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41"/>
    <w:bookmarkStart w:id="42" w:name="Xe36430cf7d8e0a8c6df93020e9507d5e203e939"/>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3"/>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3"/>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42"/>
    <w:bookmarkEnd w:id="43"/>
    <w:bookmarkStart w:id="63" w:name="X121719332867ee227f0a04b486098cee978c6e6"/>
    <w:p>
      <w:pPr>
        <w:pStyle w:val="Heading2"/>
      </w:pPr>
      <w:r>
        <w:t xml:space="preserve">4. Results</w:t>
      </w:r>
    </w:p>
    <w:bookmarkStart w:id="44"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278 studies (coded),</w:t>
      </w:r>
      <w:r>
        <w:t xml:space="preserve"> </w:t>
      </w:r>
      <w:r>
        <w:rPr>
          <w:iCs/>
          <w:i/>
        </w:rPr>
        <w:t xml:space="preserve">K</w:t>
      </w:r>
      <w:r>
        <w:t xml:space="preserve"> </w:t>
      </w:r>
      <w:r>
        <w:t xml:space="preserve">= 328 effect sizes (current analytic database,</w:t>
      </w:r>
      <w:r>
        <w:t xml:space="preserve"> </w:t>
      </w:r>
      <w:r>
        <w:rPr>
          <w:rStyle w:val="VerbatimChar"/>
        </w:rPr>
        <w:t xml:space="preserve">p6_study_database_v2.csv</w:t>
      </w:r>
      <w:r>
        <w:t xml:space="preserve">).</w:t>
      </w:r>
    </w:p>
    <w:p>
      <w:pPr>
        <w:pStyle w:val="BodyText"/>
      </w:pPr>
      <w:r>
        <w:rPr>
          <w:bCs/>
          <w:b/>
        </w:rPr>
        <w:t xml:space="preserve">Table 3.1 — Inter-coder reliability statistics</w:t>
      </w:r>
      <w:r>
        <w:t xml:space="preserve"> </w:t>
      </w:r>
      <w:r>
        <w:rPr>
          <w:iCs/>
          <w:i/>
        </w:rPr>
        <w:t xml:space="preserve">(20% double-coded 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 Analytic-database sample composition</w:t>
      </w:r>
      <w:r>
        <w:t xml:space="preserve"> </w:t>
      </w:r>
      <w:r>
        <w:rPr>
          <w:iCs/>
          <w:i/>
        </w:rPr>
        <w:t xml:space="preserve">(K = 328 effect sizes, k = 278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Advanced-Innovation (e.g., Korea, Japan, Singapore, HK, Australia)</w:t>
            </w:r>
          </w:p>
        </w:tc>
        <w:tc>
          <w:tcPr/>
          <w:p>
            <w:pPr>
              <w:pStyle w:val="Compact"/>
              <w:jc w:val="left"/>
            </w:pPr>
            <w:r>
              <w:t xml:space="preserve">157</w:t>
            </w:r>
          </w:p>
        </w:tc>
        <w:tc>
          <w:tcPr/>
          <w:p>
            <w:pPr>
              <w:pStyle w:val="Compact"/>
              <w:jc w:val="left"/>
            </w:pPr>
            <w:r>
              <w:t xml:space="preserve">125</w:t>
            </w:r>
          </w:p>
        </w:tc>
      </w:tr>
      <w:tr>
        <w:tc>
          <w:tcPr/>
          <w:p>
            <w:pPr>
              <w:pStyle w:val="Compact"/>
              <w:jc w:val="left"/>
            </w:pPr>
            <w:r>
              <w:t xml:space="preserve">ICRV Regime II — Upper-middle (e.g., China, Malaysia, Thailand)</w:t>
            </w:r>
          </w:p>
        </w:tc>
        <w:tc>
          <w:tcPr/>
          <w:p>
            <w:pPr>
              <w:pStyle w:val="Compact"/>
              <w:jc w:val="left"/>
            </w:pPr>
            <w:r>
              <w:t xml:space="preserve">32</w:t>
            </w:r>
          </w:p>
        </w:tc>
        <w:tc>
          <w:tcPr/>
          <w:p>
            <w:pPr>
              <w:pStyle w:val="Compact"/>
              <w:jc w:val="left"/>
            </w:pPr>
            <w:r>
              <w:t xml:space="preserve">28</w:t>
            </w:r>
          </w:p>
        </w:tc>
      </w:tr>
      <w:tr>
        <w:tc>
          <w:tcPr/>
          <w:p>
            <w:pPr>
              <w:pStyle w:val="Compact"/>
              <w:jc w:val="left"/>
            </w:pPr>
            <w:r>
              <w:t xml:space="preserve">ICRV Regime III — Emerging (e.g., Vietnam, India, Philippines)</w:t>
            </w:r>
          </w:p>
        </w:tc>
        <w:tc>
          <w:tcPr/>
          <w:p>
            <w:pPr>
              <w:pStyle w:val="Compact"/>
              <w:jc w:val="left"/>
            </w:pPr>
            <w:r>
              <w:t xml:space="preserve">95</w:t>
            </w:r>
          </w:p>
        </w:tc>
        <w:tc>
          <w:tcPr/>
          <w:p>
            <w:pPr>
              <w:pStyle w:val="Compact"/>
              <w:jc w:val="left"/>
            </w:pPr>
            <w:r>
              <w:t xml:space="preserve">83</w:t>
            </w:r>
          </w:p>
        </w:tc>
      </w:tr>
      <w:tr>
        <w:tc>
          <w:tcPr/>
          <w:p>
            <w:pPr>
              <w:pStyle w:val="Compact"/>
              <w:jc w:val="left"/>
            </w:pPr>
            <w:r>
              <w:t xml:space="preserve">ICRV Frontier / LDC (FR)</w:t>
            </w:r>
          </w:p>
        </w:tc>
        <w:tc>
          <w:tcPr/>
          <w:p>
            <w:pPr>
              <w:pStyle w:val="Compact"/>
              <w:jc w:val="left"/>
            </w:pPr>
            <w:r>
              <w:t xml:space="preserve">4</w:t>
            </w:r>
          </w:p>
        </w:tc>
        <w:tc>
          <w:tcPr/>
          <w:p>
            <w:pPr>
              <w:pStyle w:val="Compact"/>
              <w:jc w:val="left"/>
            </w:pPr>
            <w:r>
              <w:t xml:space="preserve">4</w:t>
            </w:r>
          </w:p>
        </w:tc>
      </w:tr>
      <w:tr>
        <w:tc>
          <w:tcPr/>
          <w:p>
            <w:pPr>
              <w:pStyle w:val="Compact"/>
              <w:jc w:val="left"/>
            </w:pPr>
            <w:r>
              <w:t xml:space="preserve">Cross-regime / multi-country (MX)</w:t>
            </w:r>
          </w:p>
        </w:tc>
        <w:tc>
          <w:tcPr/>
          <w:p>
            <w:pPr>
              <w:pStyle w:val="Compact"/>
              <w:jc w:val="left"/>
            </w:pPr>
            <w:r>
              <w:t xml:space="preserve">40</w:t>
            </w:r>
          </w:p>
        </w:tc>
        <w:tc>
          <w:tcPr/>
          <w:p>
            <w:pPr>
              <w:pStyle w:val="Compact"/>
              <w:jc w:val="left"/>
            </w:pPr>
            <w:r>
              <w:t xml:space="preserve">38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328</w:t>
            </w:r>
          </w:p>
        </w:tc>
        <w:tc>
          <w:tcPr/>
          <w:p>
            <w:pPr>
              <w:pStyle w:val="Compact"/>
              <w:jc w:val="left"/>
            </w:pPr>
            <w:r>
              <w:rPr>
                <w:bCs/>
                <w:b/>
              </w:rPr>
              <w:t xml:space="preserve">278</w:t>
            </w:r>
          </w:p>
        </w:tc>
      </w:tr>
      <w:tr>
        <w:tc>
          <w:tcPr/>
          <w:p>
            <w:pPr>
              <w:pStyle w:val="Compact"/>
              <w:jc w:val="left"/>
            </w:pPr>
            <w:r>
              <w:t xml:space="preserve">cDAI High (H)</w:t>
            </w:r>
          </w:p>
        </w:tc>
        <w:tc>
          <w:tcPr/>
          <w:p>
            <w:pPr>
              <w:pStyle w:val="Compact"/>
              <w:jc w:val="left"/>
            </w:pPr>
            <w:r>
              <w:t xml:space="preserve">51</w:t>
            </w:r>
          </w:p>
        </w:tc>
        <w:tc>
          <w:tcPr/>
          <w:p>
            <w:pPr>
              <w:pStyle w:val="Compact"/>
              <w:jc w:val="left"/>
            </w:pPr>
            <w:r>
              <w:t xml:space="preserve">46</w:t>
            </w:r>
          </w:p>
        </w:tc>
      </w:tr>
      <w:tr>
        <w:tc>
          <w:tcPr/>
          <w:p>
            <w:pPr>
              <w:pStyle w:val="Compact"/>
              <w:jc w:val="left"/>
            </w:pPr>
            <w:r>
              <w:t xml:space="preserve">cDAI Medium (M)</w:t>
            </w:r>
          </w:p>
        </w:tc>
        <w:tc>
          <w:tcPr/>
          <w:p>
            <w:pPr>
              <w:pStyle w:val="Compact"/>
              <w:jc w:val="left"/>
            </w:pPr>
            <w:r>
              <w:t xml:space="preserve">81</w:t>
            </w:r>
          </w:p>
        </w:tc>
        <w:tc>
          <w:tcPr/>
          <w:p>
            <w:pPr>
              <w:pStyle w:val="Compact"/>
              <w:jc w:val="left"/>
            </w:pPr>
            <w:r>
              <w:t xml:space="preserve">69</w:t>
            </w:r>
          </w:p>
        </w:tc>
      </w:tr>
      <w:tr>
        <w:tc>
          <w:tcPr/>
          <w:p>
            <w:pPr>
              <w:pStyle w:val="Compact"/>
              <w:jc w:val="left"/>
            </w:pPr>
            <w:r>
              <w:t xml:space="preserve">cDAI Low (L)</w:t>
            </w:r>
          </w:p>
        </w:tc>
        <w:tc>
          <w:tcPr/>
          <w:p>
            <w:pPr>
              <w:pStyle w:val="Compact"/>
              <w:jc w:val="left"/>
            </w:pPr>
            <w:r>
              <w:t xml:space="preserve">175</w:t>
            </w:r>
          </w:p>
        </w:tc>
        <w:tc>
          <w:tcPr/>
          <w:p>
            <w:pPr>
              <w:pStyle w:val="Compact"/>
              <w:jc w:val="left"/>
            </w:pPr>
            <w:r>
              <w:t xml:space="preserve">142</w:t>
            </w:r>
          </w:p>
        </w:tc>
      </w:tr>
      <w:tr>
        <w:tc>
          <w:tcPr/>
          <w:p>
            <w:pPr>
              <w:pStyle w:val="Compact"/>
              <w:jc w:val="left"/>
            </w:pPr>
            <w:r>
              <w:t xml:space="preserve">cDAI uncoded</w:t>
            </w:r>
          </w:p>
        </w:tc>
        <w:tc>
          <w:tcPr/>
          <w:p>
            <w:pPr>
              <w:pStyle w:val="Compact"/>
              <w:jc w:val="left"/>
            </w:pPr>
            <w:r>
              <w:t xml:space="preserve">21</w:t>
            </w:r>
          </w:p>
        </w:tc>
        <w:tc>
          <w:tcPr/>
          <w:p>
            <w:pPr>
              <w:pStyle w:val="Compact"/>
              <w:jc w:val="left"/>
            </w:pPr>
            <w:r>
              <w:t xml:space="preserve">21</w:t>
            </w:r>
          </w:p>
        </w:tc>
      </w:tr>
      <w:tr>
        <w:tc>
          <w:tcPr/>
          <w:p>
            <w:pPr>
              <w:pStyle w:val="Compact"/>
              <w:jc w:val="left"/>
            </w:pPr>
            <w:r>
              <w:t xml:space="preserve">DPL Precede (PRE, ≤2008)</w:t>
            </w:r>
          </w:p>
        </w:tc>
        <w:tc>
          <w:tcPr/>
          <w:p>
            <w:pPr>
              <w:pStyle w:val="Compact"/>
              <w:jc w:val="left"/>
            </w:pPr>
            <w:r>
              <w:t xml:space="preserve">104</w:t>
            </w:r>
          </w:p>
        </w:tc>
        <w:tc>
          <w:tcPr/>
          <w:p>
            <w:pPr>
              <w:pStyle w:val="Compact"/>
              <w:jc w:val="left"/>
            </w:pPr>
            <w:r>
              <w:t xml:space="preserve">82</w:t>
            </w:r>
          </w:p>
        </w:tc>
      </w:tr>
      <w:tr>
        <w:tc>
          <w:tcPr/>
          <w:p>
            <w:pPr>
              <w:pStyle w:val="Compact"/>
              <w:jc w:val="left"/>
            </w:pPr>
            <w:r>
              <w:t xml:space="preserve">DPL Span (SPN, 2009–2013)</w:t>
            </w:r>
          </w:p>
        </w:tc>
        <w:tc>
          <w:tcPr/>
          <w:p>
            <w:pPr>
              <w:pStyle w:val="Compact"/>
              <w:jc w:val="left"/>
            </w:pPr>
            <w:r>
              <w:t xml:space="preserve">128</w:t>
            </w:r>
          </w:p>
        </w:tc>
        <w:tc>
          <w:tcPr/>
          <w:p>
            <w:pPr>
              <w:pStyle w:val="Compact"/>
              <w:jc w:val="left"/>
            </w:pPr>
            <w:r>
              <w:t xml:space="preserve">113</w:t>
            </w:r>
          </w:p>
        </w:tc>
      </w:tr>
      <w:tr>
        <w:tc>
          <w:tcPr/>
          <w:p>
            <w:pPr>
              <w:pStyle w:val="Compact"/>
              <w:jc w:val="left"/>
            </w:pPr>
            <w:r>
              <w:t xml:space="preserve">DPL Follow (FOL, ≥2014)</w:t>
            </w:r>
          </w:p>
        </w:tc>
        <w:tc>
          <w:tcPr/>
          <w:p>
            <w:pPr>
              <w:pStyle w:val="Compact"/>
              <w:jc w:val="left"/>
            </w:pPr>
            <w:r>
              <w:t xml:space="preserve">96</w:t>
            </w:r>
          </w:p>
        </w:tc>
        <w:tc>
          <w:tcPr/>
          <w:p>
            <w:pPr>
              <w:pStyle w:val="Compact"/>
              <w:jc w:val="left"/>
            </w:pPr>
            <w:r>
              <w:t xml:space="preserve">83</w:t>
            </w:r>
          </w:p>
        </w:tc>
      </w:tr>
      <w:tr>
        <w:tc>
          <w:tcPr/>
          <w:p>
            <w:pPr>
              <w:pStyle w:val="Compact"/>
              <w:jc w:val="left"/>
            </w:pPr>
            <w:r>
              <w:t xml:space="preserve">By DOI type: FSTS</w:t>
            </w:r>
          </w:p>
        </w:tc>
        <w:tc>
          <w:tcPr/>
          <w:p>
            <w:pPr>
              <w:pStyle w:val="Compact"/>
              <w:jc w:val="left"/>
            </w:pPr>
            <w:r>
              <w:t xml:space="preserve">141</w:t>
            </w:r>
          </w:p>
        </w:tc>
        <w:tc>
          <w:tcPr/>
          <w:p>
            <w:pPr>
              <w:pStyle w:val="Compact"/>
              <w:jc w:val="left"/>
            </w:pPr>
            <w:r>
              <w:t xml:space="preserve">118</w:t>
            </w:r>
          </w:p>
        </w:tc>
      </w:tr>
      <w:tr>
        <w:tc>
          <w:tcPr/>
          <w:p>
            <w:pPr>
              <w:pStyle w:val="Compact"/>
              <w:jc w:val="left"/>
            </w:pPr>
            <w:r>
              <w:t xml:space="preserve">By DOI type: EXP</w:t>
            </w:r>
          </w:p>
        </w:tc>
        <w:tc>
          <w:tcPr/>
          <w:p>
            <w:pPr>
              <w:pStyle w:val="Compact"/>
              <w:jc w:val="left"/>
            </w:pPr>
            <w:r>
              <w:t xml:space="preserve">73</w:t>
            </w:r>
          </w:p>
        </w:tc>
        <w:tc>
          <w:tcPr/>
          <w:p>
            <w:pPr>
              <w:pStyle w:val="Compact"/>
              <w:jc w:val="left"/>
            </w:pPr>
            <w:r>
              <w:t xml:space="preserve">60</w:t>
            </w:r>
          </w:p>
        </w:tc>
      </w:tr>
      <w:tr>
        <w:tc>
          <w:tcPr/>
          <w:p>
            <w:pPr>
              <w:pStyle w:val="Compact"/>
              <w:jc w:val="left"/>
            </w:pPr>
            <w:r>
              <w:t xml:space="preserve">By DOI type: GEO</w:t>
            </w:r>
          </w:p>
        </w:tc>
        <w:tc>
          <w:tcPr/>
          <w:p>
            <w:pPr>
              <w:pStyle w:val="Compact"/>
              <w:jc w:val="left"/>
            </w:pPr>
            <w:r>
              <w:t xml:space="preserve">52</w:t>
            </w:r>
          </w:p>
        </w:tc>
        <w:tc>
          <w:tcPr/>
          <w:p>
            <w:pPr>
              <w:pStyle w:val="Compact"/>
              <w:jc w:val="left"/>
            </w:pPr>
            <w:r>
              <w:t xml:space="preserve">43</w:t>
            </w:r>
          </w:p>
        </w:tc>
      </w:tr>
      <w:tr>
        <w:tc>
          <w:tcPr/>
          <w:p>
            <w:pPr>
              <w:pStyle w:val="Compact"/>
              <w:jc w:val="left"/>
            </w:pPr>
            <w:r>
              <w:t xml:space="preserve">By DOI type: COMP</w:t>
            </w:r>
          </w:p>
        </w:tc>
        <w:tc>
          <w:tcPr/>
          <w:p>
            <w:pPr>
              <w:pStyle w:val="Compact"/>
              <w:jc w:val="left"/>
            </w:pPr>
            <w:r>
              <w:t xml:space="preserve">36</w:t>
            </w:r>
          </w:p>
        </w:tc>
        <w:tc>
          <w:tcPr/>
          <w:p>
            <w:pPr>
              <w:pStyle w:val="Compact"/>
              <w:jc w:val="left"/>
            </w:pPr>
            <w:r>
              <w:t xml:space="preserve">32</w:t>
            </w:r>
          </w:p>
        </w:tc>
      </w:tr>
      <w:tr>
        <w:tc>
          <w:tcPr/>
          <w:p>
            <w:pPr>
              <w:pStyle w:val="Compact"/>
              <w:jc w:val="left"/>
            </w:pPr>
            <w:r>
              <w:t xml:space="preserve">By DOI type: FDI / OTHER</w:t>
            </w:r>
          </w:p>
        </w:tc>
        <w:tc>
          <w:tcPr/>
          <w:p>
            <w:pPr>
              <w:pStyle w:val="Compact"/>
              <w:jc w:val="left"/>
            </w:pPr>
            <w:r>
              <w:t xml:space="preserve">20</w:t>
            </w:r>
          </w:p>
        </w:tc>
        <w:tc>
          <w:tcPr/>
          <w:p>
            <w:pPr>
              <w:pStyle w:val="Compact"/>
              <w:jc w:val="left"/>
            </w:pPr>
            <w:r>
              <w:t xml:space="preserve">19</w:t>
            </w:r>
          </w:p>
        </w:tc>
      </w:tr>
      <w:tr>
        <w:tc>
          <w:tcPr/>
          <w:p>
            <w:pPr>
              <w:pStyle w:val="Compact"/>
              <w:jc w:val="left"/>
            </w:pPr>
            <w:r>
              <w:t xml:space="preserve">By FP type: ACC (accounting)</w:t>
            </w:r>
          </w:p>
        </w:tc>
        <w:tc>
          <w:tcPr/>
          <w:p>
            <w:pPr>
              <w:pStyle w:val="Compact"/>
              <w:jc w:val="left"/>
            </w:pPr>
            <w:r>
              <w:t xml:space="preserve">259</w:t>
            </w:r>
          </w:p>
        </w:tc>
        <w:tc>
          <w:tcPr/>
          <w:p>
            <w:pPr>
              <w:pStyle w:val="Compact"/>
              <w:jc w:val="left"/>
            </w:pPr>
            <w:r>
              <w:t xml:space="preserve">214</w:t>
            </w:r>
          </w:p>
        </w:tc>
      </w:tr>
      <w:tr>
        <w:tc>
          <w:tcPr/>
          <w:p>
            <w:pPr>
              <w:pStyle w:val="Compact"/>
              <w:jc w:val="left"/>
            </w:pPr>
            <w:r>
              <w:t xml:space="preserve">By FP type: LAB (labour productivity)</w:t>
            </w:r>
          </w:p>
        </w:tc>
        <w:tc>
          <w:tcPr/>
          <w:p>
            <w:pPr>
              <w:pStyle w:val="Compact"/>
              <w:jc w:val="left"/>
            </w:pPr>
            <w:r>
              <w:t xml:space="preserve">19</w:t>
            </w:r>
          </w:p>
        </w:tc>
        <w:tc>
          <w:tcPr/>
          <w:p>
            <w:pPr>
              <w:pStyle w:val="Compact"/>
              <w:jc w:val="left"/>
            </w:pPr>
            <w:r>
              <w:t xml:space="preserve">16</w:t>
            </w:r>
          </w:p>
        </w:tc>
      </w:tr>
      <w:tr>
        <w:tc>
          <w:tcPr/>
          <w:p>
            <w:pPr>
              <w:pStyle w:val="Compact"/>
              <w:jc w:val="left"/>
            </w:pPr>
            <w:r>
              <w:t xml:space="preserve">By FP type: MKT (market-based)</w:t>
            </w:r>
          </w:p>
        </w:tc>
        <w:tc>
          <w:tcPr/>
          <w:p>
            <w:pPr>
              <w:pStyle w:val="Compact"/>
              <w:jc w:val="left"/>
            </w:pPr>
            <w:r>
              <w:t xml:space="preserve">18</w:t>
            </w:r>
          </w:p>
        </w:tc>
        <w:tc>
          <w:tcPr/>
          <w:p>
            <w:pPr>
              <w:pStyle w:val="Compact"/>
              <w:jc w:val="left"/>
            </w:pPr>
            <w:r>
              <w:t xml:space="preserve">18</w:t>
            </w:r>
          </w:p>
        </w:tc>
      </w:tr>
      <w:tr>
        <w:tc>
          <w:tcPr/>
          <w:p>
            <w:pPr>
              <w:pStyle w:val="Compact"/>
              <w:jc w:val="left"/>
            </w:pPr>
            <w:r>
              <w:t xml:space="preserve">By FP type: MIX</w:t>
            </w:r>
          </w:p>
        </w:tc>
        <w:tc>
          <w:tcPr/>
          <w:p>
            <w:pPr>
              <w:pStyle w:val="Compact"/>
              <w:jc w:val="left"/>
            </w:pPr>
            <w:r>
              <w:t xml:space="preserve">32</w:t>
            </w:r>
          </w:p>
        </w:tc>
        <w:tc>
          <w:tcPr/>
          <w:p>
            <w:pPr>
              <w:pStyle w:val="Compact"/>
              <w:jc w:val="left"/>
            </w:pPr>
            <w:r>
              <w:t xml:space="preserve">30</w:t>
            </w:r>
          </w:p>
        </w:tc>
      </w:tr>
      <w:tr>
        <w:tc>
          <w:tcPr/>
          <w:p>
            <w:pPr>
              <w:pStyle w:val="Compact"/>
              <w:jc w:val="left"/>
            </w:pPr>
            <w:r>
              <w:t xml:space="preserve">Effect-size origin: reported (confirmed</w:t>
            </w:r>
            <w:r>
              <w:t xml:space="preserve"> </w:t>
            </w:r>
            <w:r>
              <w:rPr>
                <w:iCs/>
                <w:i/>
              </w:rPr>
              <w:t xml:space="preserve">r</w:t>
            </w:r>
            <w:r>
              <w:t xml:space="preserve">)</w:t>
            </w:r>
          </w:p>
        </w:tc>
        <w:tc>
          <w:tcPr/>
          <w:p>
            <w:pPr>
              <w:pStyle w:val="Compact"/>
              <w:jc w:val="left"/>
            </w:pPr>
            <w:r>
              <w:t xml:space="preserve">271</w:t>
            </w:r>
          </w:p>
        </w:tc>
        <w:tc>
          <w:tcPr/>
          <w:p>
            <w:pPr>
              <w:pStyle w:val="Compact"/>
              <w:jc w:val="left"/>
            </w:pPr>
            <w:r>
              <w:t xml:space="preserve">221</w:t>
            </w:r>
          </w:p>
        </w:tc>
      </w:tr>
      <w:tr>
        <w:tc>
          <w:tcPr/>
          <w:p>
            <w:pPr>
              <w:pStyle w:val="Compact"/>
              <w:jc w:val="left"/>
            </w:pPr>
            <w:r>
              <w:t xml:space="preserve">Effect-size origin: estimated (β/</w:t>
            </w:r>
            <w:r>
              <w:rPr>
                <w:iCs/>
                <w:i/>
              </w:rPr>
              <w:t xml:space="preserve">t</w:t>
            </w:r>
            <w:r>
              <w:t xml:space="preserve">/</w:t>
            </w:r>
            <w:r>
              <w:rPr>
                <w:iCs/>
                <w:i/>
              </w:rPr>
              <w:t xml:space="preserve">F</w:t>
            </w:r>
            <w:r>
              <w:t xml:space="preserve"> </w:t>
            </w:r>
            <w:r>
              <w:t xml:space="preserve">conversion)</w:t>
            </w:r>
          </w:p>
        </w:tc>
        <w:tc>
          <w:tcPr/>
          <w:p>
            <w:pPr>
              <w:pStyle w:val="Compact"/>
              <w:jc w:val="left"/>
            </w:pPr>
            <w:r>
              <w:t xml:space="preserve">57</w:t>
            </w:r>
          </w:p>
        </w:tc>
        <w:tc>
          <w:tcPr/>
          <w:p>
            <w:pPr>
              <w:pStyle w:val="Compact"/>
              <w:jc w:val="left"/>
            </w:pPr>
            <w:r>
              <w:t xml:space="preserve">57</w:t>
            </w:r>
          </w:p>
        </w:tc>
      </w:tr>
    </w:tbl>
    <w:p>
      <w:pPr>
        <w:pStyle w:val="BodyText"/>
      </w:pPr>
      <w:r>
        <w:rPr>
          <w:iCs/>
          <w:i/>
        </w:rPr>
        <w:t xml:space="preserve">Note:</w:t>
      </w:r>
      <w:r>
        <w:t xml:space="preserve"> </w:t>
      </w:r>
      <w:r>
        <w:t xml:space="preserve">Counts from the analytic database (</w:t>
      </w:r>
      <w:r>
        <w:rPr>
          <w:rStyle w:val="VerbatimChar"/>
        </w:rPr>
        <w:t xml:space="preserve">p6/data/p6_study_database_v2.csv</w:t>
      </w:r>
      <w:r>
        <w:t xml:space="preserve">, K = 328 rows, k = 278 unique study IDs). Subgroup</w:t>
      </w:r>
      <w:r>
        <w:t xml:space="preserve"> </w:t>
      </w:r>
      <w:r>
        <w:rPr>
          <w:iCs/>
          <w:i/>
        </w:rPr>
        <w:t xml:space="preserve">k</w:t>
      </w:r>
      <w:r>
        <w:t xml:space="preserve"> </w:t>
      </w:r>
      <w:r>
        <w:t xml:space="preserve">totals can exceed the grand total where a study contributes effects to more than one DOI/FP category. cDAI is uncoded for 21 effects (multi-country pooled studies without a single attributable country index); these are retained in the baseline and excluded list-wise from the cDAI moderation only.</w:t>
      </w:r>
    </w:p>
    <w:bookmarkEnd w:id="44"/>
    <w:bookmarkStart w:id="45"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(REML, k = 278 studies, K = 328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0.00888</w:t>
            </w:r>
          </w:p>
        </w:tc>
      </w:tr>
      <w:tr>
        <w:tc>
          <w:tcPr/>
          <w:p>
            <w:pPr>
              <w:pStyle w:val="Compact"/>
              <w:jc w:val="left"/>
            </w:pPr>
            <w:r>
              <w:t xml:space="preserve">σ²_(3) between-study</w:t>
            </w:r>
          </w:p>
        </w:tc>
        <w:tc>
          <w:tcPr/>
          <w:p>
            <w:pPr>
              <w:pStyle w:val="Compact"/>
              <w:jc w:val="left"/>
            </w:pPr>
            <w:r>
              <w:t xml:space="preserve">0.00137</w:t>
            </w:r>
          </w:p>
        </w:tc>
      </w:tr>
      <w:tr>
        <w:tc>
          <w:tcPr/>
          <w:p>
            <w:pPr>
              <w:pStyle w:val="Compact"/>
              <w:jc w:val="left"/>
            </w:pPr>
            <w:r>
              <w:rPr>
                <w:iCs/>
                <w:i/>
              </w:rPr>
              <w:t xml:space="preserve">I</w:t>
            </w:r>
            <w:r>
              <w:t xml:space="preserve">²_(2) within-study</w:t>
            </w:r>
          </w:p>
        </w:tc>
        <w:tc>
          <w:tcPr/>
          <w:p>
            <w:pPr>
              <w:pStyle w:val="Compact"/>
              <w:jc w:val="left"/>
            </w:pPr>
            <w:r>
              <w:t xml:space="preserve">57.1%</w:t>
            </w:r>
          </w:p>
        </w:tc>
      </w:tr>
      <w:tr>
        <w:tc>
          <w:tcPr/>
          <w:p>
            <w:pPr>
              <w:pStyle w:val="Compact"/>
              <w:jc w:val="left"/>
            </w:pPr>
            <w:r>
              <w:rPr>
                <w:iCs/>
                <w:i/>
              </w:rPr>
              <w:t xml:space="preserve">I</w:t>
            </w:r>
            <w:r>
              <w:t xml:space="preserve">²_(3) between-study</w:t>
            </w:r>
          </w:p>
        </w:tc>
        <w:tc>
          <w:tcPr/>
          <w:p>
            <w:pPr>
              <w:pStyle w:val="Compact"/>
              <w:jc w:val="left"/>
            </w:pPr>
            <w:r>
              <w:t xml:space="preserve">8.8%</w:t>
            </w:r>
          </w:p>
        </w:tc>
      </w:tr>
      <w:tr>
        <w:tc>
          <w:tcPr/>
          <w:p>
            <w:pPr>
              <w:pStyle w:val="Compact"/>
              <w:jc w:val="left"/>
            </w:pPr>
            <w:r>
              <w:rPr>
                <w:iCs/>
                <w:i/>
              </w:rPr>
              <w:t xml:space="preserve">I</w:t>
            </w:r>
            <w:r>
              <w:t xml:space="preserve">²_total</w:t>
            </w:r>
          </w:p>
        </w:tc>
        <w:tc>
          <w:tcPr/>
          <w:p>
            <w:pPr>
              <w:pStyle w:val="Compact"/>
              <w:jc w:val="left"/>
            </w:pPr>
            <w:r>
              <w:t xml:space="preserve">65.9%</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0.076 (95% CI [0.063, 0.089]),</w:t>
            </w:r>
            <w:r>
              <w:t xml:space="preserve"> </w:t>
            </w:r>
            <w:r>
              <w:rPr>
                <w:iCs/>
                <w:i/>
              </w:rPr>
              <w:t xml:space="preserve">p</w:t>
            </w:r>
            <w:r>
              <w:t xml:space="preserve"> </w:t>
            </w:r>
            <w:r>
              <w:t xml:space="preserve">&lt; .001</w:t>
            </w:r>
          </w:p>
        </w:tc>
      </w:tr>
      <w:tr>
        <w:tc>
          <w:tcPr/>
          <w:p>
            <w:pPr>
              <w:pStyle w:val="Compact"/>
              <w:jc w:val="left"/>
            </w:pPr>
            <w:r>
              <w:rPr>
                <w:iCs/>
                <w:i/>
              </w:rPr>
              <w:t xml:space="preserve">Q</w:t>
            </w:r>
            <w:r>
              <w:t xml:space="preserve">_total</w:t>
            </w:r>
          </w:p>
        </w:tc>
        <w:tc>
          <w:tcPr/>
          <w:p>
            <w:pPr>
              <w:pStyle w:val="Compact"/>
              <w:jc w:val="left"/>
            </w:pPr>
            <w:r>
              <w:t xml:space="preserve">2,831.77 (</w:t>
            </w:r>
            <w:r>
              <w:rPr>
                <w:iCs/>
                <w:i/>
              </w:rPr>
              <w:t xml:space="preserve">df</w:t>
            </w:r>
            <w:r>
              <w:t xml:space="preserve"> </w:t>
            </w:r>
            <w:r>
              <w:t xml:space="preserve">= 327,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0.076) is consistent with the ICBEF 2025 single-level baseline (</w:t>
      </w:r>
      <w:r>
        <w:rPr>
          <w:iCs/>
          <w:i/>
        </w:rPr>
        <w:t xml:space="preserve">r</w:t>
      </w:r>
      <w:r>
        <w:t xml:space="preserve"> </w:t>
      </w:r>
      <w:r>
        <w:t xml:space="preserve">= 0.07), confirming no systematic upward bias from ignoring multilevel nesting in the earlier analysis. The variance decomposition is dominated by the within-study level: effect-to-effect variation within the same study (Level 2,</w:t>
      </w:r>
      <w:r>
        <w:t xml:space="preserve"> </w:t>
      </w:r>
      <w:r>
        <w:rPr>
          <w:iCs/>
          <w:i/>
        </w:rPr>
        <w:t xml:space="preserve">I</w:t>
      </w:r>
      <w:r>
        <w:t xml:space="preserve">²_(2) = 57.1%) is roughly six times the between-study contribution (Level 3,</w:t>
      </w:r>
      <w:r>
        <w:t xml:space="preserve"> </w:t>
      </w:r>
      <w:r>
        <w:rPr>
          <w:iCs/>
          <w:i/>
        </w:rPr>
        <w:t xml:space="preserve">I</w:t>
      </w:r>
      <w:r>
        <w:t xml:space="preserve">²_(3) = 8.8%). Substantively, this indicates that most unexplained heterogeneity arises from analytic choices</w:t>
      </w:r>
      <w:r>
        <w:t xml:space="preserve"> </w:t>
      </w:r>
      <w:r>
        <w:rPr>
          <w:iCs/>
          <w:i/>
        </w:rPr>
        <w:t xml:space="preserve">within</w:t>
      </w:r>
      <w:r>
        <w:t xml:space="preserve"> </w:t>
      </w:r>
      <w:r>
        <w:t xml:space="preserve">primary studies — DOI operationalization, performance metric, model specification, and sub-sample — rather than from stable cross-study contextual differences. Total</w:t>
      </w:r>
      <w:r>
        <w:t xml:space="preserve"> </w:t>
      </w:r>
      <w:r>
        <w:rPr>
          <w:iCs/>
          <w:i/>
        </w:rPr>
        <w:t xml:space="preserve">I</w:t>
      </w:r>
      <w:r>
        <w:t xml:space="preserve">² = 65.9%, well above the sampling-error floor, motivates the moderator analyses; however, as §§4.3–4.5 show, the coded country- and time-level moderators leave the bulk of this within-study heterogeneity unresolved.</w:t>
      </w:r>
    </w:p>
    <w:bookmarkEnd w:id="45"/>
    <w:bookmarkStart w:id="49" w:name="Xa97dc1af7f7d522b04ad4b6d2a4fed8000451ef"/>
    <w:p>
      <w:pPr>
        <w:pStyle w:val="Heading3"/>
      </w:pPr>
      <w:r>
        <w:t xml:space="preserve">4.3 ICRV 5-Regime Moderation (H1)</w:t>
      </w:r>
    </w:p>
    <w:p>
      <w:pPr>
        <w:pStyle w:val="FirstParagraph"/>
      </w:pPr>
      <w:r>
        <w:rPr>
          <w:iCs/>
          <w:i/>
        </w:rPr>
        <w:t xml:space="preserve">Q</w:t>
      </w:r>
      <w:r>
        <w:t xml:space="preserve">_M(ICRV) = 9.46 (</w:t>
      </w:r>
      <w:r>
        <w:rPr>
          <w:iCs/>
          <w:i/>
        </w:rPr>
        <w:t xml:space="preserve">df</w:t>
      </w:r>
      <w:r>
        <w:t xml:space="preserve"> </w:t>
      </w:r>
      <w:r>
        <w:t xml:space="preserve">= 4,</w:t>
      </w:r>
      <w:r>
        <w:t xml:space="preserve"> </w:t>
      </w:r>
      <w:r>
        <w:rPr>
          <w:iCs/>
          <w:i/>
        </w:rPr>
        <w:t xml:space="preserve">p</w:t>
      </w:r>
      <w:r>
        <w:t xml:space="preserve"> </w:t>
      </w:r>
      <w:r>
        <w:t xml:space="preserve">= .051). H1 is</w:t>
      </w:r>
      <w:r>
        <w:t xml:space="preserve"> </w:t>
      </w:r>
      <w:r>
        <w:rPr>
          <w:bCs/>
          <w:b/>
        </w:rPr>
        <w:t xml:space="preserve">marginally supported</w:t>
      </w:r>
      <w:r>
        <w:t xml:space="preserve"> </w:t>
      </w:r>
      <w:r>
        <w:t xml:space="preserve">— the omnibus between-regime moderation test is significant at the 10% level but not at the conventional 5% threshold, and the departure it captures is generated by a sparse, high-effect Frontier cell rather than by a monotone advanced-to-emerging gradient. Exploratory Propositions E1a (Advanced largest) and E1b (Frontier smallest) are therefore</w:t>
      </w:r>
      <w:r>
        <w:t xml:space="preserve"> </w:t>
      </w:r>
      <w:r>
        <w:rPr>
          <w:bCs/>
          <w:b/>
        </w:rPr>
        <w:t xml:space="preserve">not</w:t>
      </w:r>
      <w:r>
        <w:t xml:space="preserve"> </w:t>
      </w:r>
      <w:r>
        <w:t xml:space="preserve">supported; see below.</w:t>
      </w:r>
    </w:p>
    <w:p>
      <w:pPr>
        <w:pStyle w:val="BodyText"/>
      </w:pPr>
      <w:r>
        <w:rPr>
          <w:bCs/>
          <w:b/>
        </w:rPr>
        <w:t xml:space="preserve">Table 4.2 — ICRV regime subgroup results</w:t>
      </w:r>
      <w:r>
        <w:t xml:space="preserve"> </w:t>
      </w:r>
      <w:r>
        <w:rPr>
          <w:iCs/>
          <w:i/>
        </w:rPr>
        <w:t xml:space="preserve">(actual MARA output, k = 278 / K = 328; subgroup pooled means, no-intercept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 Advanced-Innovation (SG, HK, KR, JP, AU…)</w:t>
            </w:r>
          </w:p>
        </w:tc>
        <w:tc>
          <w:tcPr/>
          <w:p>
            <w:pPr>
              <w:pStyle w:val="Compact"/>
              <w:jc w:val="left"/>
            </w:pPr>
            <w:r>
              <w:t xml:space="preserve">157</w:t>
            </w:r>
          </w:p>
        </w:tc>
        <w:tc>
          <w:tcPr/>
          <w:p>
            <w:pPr>
              <w:pStyle w:val="Compact"/>
              <w:jc w:val="left"/>
            </w:pPr>
            <w:r>
              <w:t xml:space="preserve">0.079</w:t>
            </w:r>
          </w:p>
        </w:tc>
        <w:tc>
          <w:tcPr/>
          <w:p>
            <w:pPr>
              <w:pStyle w:val="Compact"/>
              <w:jc w:val="left"/>
            </w:pPr>
            <w:r>
              <w:t xml:space="preserve">[0.060, 0.098]</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32</w:t>
            </w:r>
          </w:p>
        </w:tc>
        <w:tc>
          <w:tcPr/>
          <w:p>
            <w:pPr>
              <w:pStyle w:val="Compact"/>
              <w:jc w:val="left"/>
            </w:pPr>
            <w:r>
              <w:t xml:space="preserve">0.065</w:t>
            </w:r>
          </w:p>
        </w:tc>
        <w:tc>
          <w:tcPr/>
          <w:p>
            <w:pPr>
              <w:pStyle w:val="Compact"/>
              <w:jc w:val="left"/>
            </w:pPr>
            <w:r>
              <w:t xml:space="preserve">[0.024, 0.107]</w:t>
            </w:r>
          </w:p>
        </w:tc>
        <w:tc>
          <w:tcPr/>
          <w:p>
            <w:pPr>
              <w:pStyle w:val="Compact"/>
              <w:jc w:val="left"/>
            </w:pPr>
            <w:r>
              <w:t xml:space="preserve">.002</w:t>
            </w:r>
          </w:p>
        </w:tc>
      </w:tr>
      <w:tr>
        <w:tc>
          <w:tcPr/>
          <w:p>
            <w:pPr>
              <w:pStyle w:val="Compact"/>
              <w:jc w:val="left"/>
            </w:pPr>
            <w:r>
              <w:t xml:space="preserve">III — Emerging (VN, IN, ID, PH…)</w:t>
            </w:r>
          </w:p>
        </w:tc>
        <w:tc>
          <w:tcPr/>
          <w:p>
            <w:pPr>
              <w:pStyle w:val="Compact"/>
              <w:jc w:val="left"/>
            </w:pPr>
            <w:r>
              <w:t xml:space="preserve">95</w:t>
            </w:r>
          </w:p>
        </w:tc>
        <w:tc>
          <w:tcPr/>
          <w:p>
            <w:pPr>
              <w:pStyle w:val="Compact"/>
              <w:jc w:val="left"/>
            </w:pPr>
            <w:r>
              <w:t xml:space="preserve">0.073</w:t>
            </w:r>
          </w:p>
        </w:tc>
        <w:tc>
          <w:tcPr/>
          <w:p>
            <w:pPr>
              <w:pStyle w:val="Compact"/>
              <w:jc w:val="left"/>
            </w:pPr>
            <w:r>
              <w:t xml:space="preserve">[0.049, 0.098]</w:t>
            </w:r>
          </w:p>
        </w:tc>
        <w:tc>
          <w:tcPr/>
          <w:p>
            <w:pPr>
              <w:pStyle w:val="Compact"/>
              <w:jc w:val="left"/>
            </w:pPr>
            <w:r>
              <w:t xml:space="preserve">&lt; .001</w:t>
            </w:r>
          </w:p>
        </w:tc>
      </w:tr>
      <w:tr>
        <w:tc>
          <w:tcPr/>
          <w:p>
            <w:pPr>
              <w:pStyle w:val="Compact"/>
              <w:jc w:val="left"/>
            </w:pPr>
            <w:r>
              <w:t xml:space="preserve">FR — Frontier / LDC</w:t>
            </w:r>
          </w:p>
        </w:tc>
        <w:tc>
          <w:tcPr/>
          <w:p>
            <w:pPr>
              <w:pStyle w:val="Compact"/>
              <w:jc w:val="left"/>
            </w:pPr>
            <w:r>
              <w:t xml:space="preserve">4</w:t>
            </w:r>
          </w:p>
        </w:tc>
        <w:tc>
          <w:tcPr/>
          <w:p>
            <w:pPr>
              <w:pStyle w:val="Compact"/>
              <w:jc w:val="left"/>
            </w:pPr>
            <w:r>
              <w:t xml:space="preserve">0.249</w:t>
            </w:r>
          </w:p>
        </w:tc>
        <w:tc>
          <w:tcPr/>
          <w:p>
            <w:pPr>
              <w:pStyle w:val="Compact"/>
              <w:jc w:val="left"/>
            </w:pPr>
            <w:r>
              <w:t xml:space="preserve">[0.133, 0.359]</w:t>
            </w:r>
          </w:p>
        </w:tc>
        <w:tc>
          <w:tcPr/>
          <w:p>
            <w:pPr>
              <w:pStyle w:val="Compact"/>
              <w:jc w:val="left"/>
            </w:pPr>
            <w:r>
              <w:t xml:space="preserve">&lt; .001</w:t>
            </w:r>
          </w:p>
        </w:tc>
      </w:tr>
      <w:tr>
        <w:tc>
          <w:tcPr/>
          <w:p>
            <w:pPr>
              <w:pStyle w:val="Compact"/>
              <w:jc w:val="left"/>
            </w:pPr>
            <w:r>
              <w:t xml:space="preserve">MX — Cross-regime / multi-country</w:t>
            </w:r>
          </w:p>
        </w:tc>
        <w:tc>
          <w:tcPr/>
          <w:p>
            <w:pPr>
              <w:pStyle w:val="Compact"/>
              <w:jc w:val="left"/>
            </w:pPr>
            <w:r>
              <w:t xml:space="preserve">40</w:t>
            </w:r>
          </w:p>
        </w:tc>
        <w:tc>
          <w:tcPr/>
          <w:p>
            <w:pPr>
              <w:pStyle w:val="Compact"/>
              <w:jc w:val="left"/>
            </w:pPr>
            <w:r>
              <w:t xml:space="preserve">0.064</w:t>
            </w:r>
          </w:p>
        </w:tc>
        <w:tc>
          <w:tcPr/>
          <w:p>
            <w:pPr>
              <w:pStyle w:val="Compact"/>
              <w:jc w:val="left"/>
            </w:pPr>
            <w:r>
              <w:t xml:space="preserve">[0.028, 0.100]</w:t>
            </w:r>
          </w:p>
        </w:tc>
        <w:tc>
          <w:tcPr/>
          <w:p>
            <w:pPr>
              <w:pStyle w:val="Compact"/>
              <w:jc w:val="left"/>
            </w:pPr>
            <w:r>
              <w:t xml:space="preserve">&lt; .001</w:t>
            </w:r>
          </w:p>
        </w:tc>
      </w:tr>
    </w:tbl>
    <w:p>
      <w:pPr>
        <w:pStyle w:val="BodyText"/>
      </w:pPr>
      <w:r>
        <w:drawing>
          <wp:inline>
            <wp:extent cx="5334000" cy="3180366"/>
            <wp:effectExtent b="0" l="0" r="0" t="0"/>
            <wp:docPr descr="Figure 2: ICRV 5-regime forest plot — subgroup pooled effects with 95% CI" title="" id="47" name="Picture"/>
            <a:graphic>
              <a:graphicData uri="http://schemas.openxmlformats.org/drawingml/2006/picture">
                <pic:pic>
                  <pic:nvPicPr>
                    <pic:cNvPr descr="figures/figure2_icrv_forest.png" id="48" name="Picture"/>
                    <pic:cNvPicPr>
                      <a:picLocks noChangeArrowheads="1" noChangeAspect="1"/>
                    </pic:cNvPicPr>
                  </pic:nvPicPr>
                  <pic:blipFill>
                    <a:blip r:embed="rId46"/>
                    <a:stretch>
                      <a:fillRect/>
                    </a:stretch>
                  </pic:blipFill>
                  <pic:spPr bwMode="auto">
                    <a:xfrm>
                      <a:off x="0" y="0"/>
                      <a:ext cx="5334000" cy="3180366"/>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 Advanced-Innovation (</w:t>
      </w:r>
      <w:r>
        <w:rPr>
          <w:iCs/>
          <w:i/>
        </w:rPr>
        <w:t xml:space="preserve">r̄</w:t>
      </w:r>
      <w:r>
        <w:t xml:space="preserve"> </w:t>
      </w:r>
      <w:r>
        <w:t xml:space="preserve">= 0.079,</w:t>
      </w:r>
      <w:r>
        <w:t xml:space="preserve"> </w:t>
      </w:r>
      <w:r>
        <w:rPr>
          <w:iCs/>
          <w:i/>
        </w:rPr>
        <w:t xml:space="preserve">K</w:t>
      </w:r>
      <w:r>
        <w:t xml:space="preserve"> </w:t>
      </w:r>
      <w:r>
        <w:t xml:space="preserve">= 157), Emerging (</w:t>
      </w:r>
      <w:r>
        <w:rPr>
          <w:iCs/>
          <w:i/>
        </w:rPr>
        <w:t xml:space="preserve">r̄</w:t>
      </w:r>
      <w:r>
        <w:t xml:space="preserve"> </w:t>
      </w:r>
      <w:r>
        <w:t xml:space="preserve">= 0.073,</w:t>
      </w:r>
      <w:r>
        <w:t xml:space="preserve"> </w:t>
      </w:r>
      <w:r>
        <w:rPr>
          <w:iCs/>
          <w:i/>
        </w:rPr>
        <w:t xml:space="preserve">K</w:t>
      </w:r>
      <w:r>
        <w:t xml:space="preserve"> </w:t>
      </w:r>
      <w:r>
        <w:t xml:space="preserve">= 95), and Upper-middle (</w:t>
      </w:r>
      <w:r>
        <w:rPr>
          <w:iCs/>
          <w:i/>
        </w:rPr>
        <w:t xml:space="preserve">r̄</w:t>
      </w:r>
      <w:r>
        <w:t xml:space="preserve"> </w:t>
      </w:r>
      <w:r>
        <w:t xml:space="preserve">= 0.065,</w:t>
      </w:r>
      <w:r>
        <w:t xml:space="preserve"> </w:t>
      </w:r>
      <w:r>
        <w:rPr>
          <w:iCs/>
          <w:i/>
        </w:rPr>
        <w:t xml:space="preserve">K</w:t>
      </w:r>
      <w:r>
        <w:t xml:space="preserve"> </w:t>
      </w:r>
      <w:r>
        <w:t xml:space="preserve">= 32) — providing</w:t>
      </w:r>
      <w:r>
        <w:t xml:space="preserve"> </w:t>
      </w:r>
      <w:r>
        <w:rPr>
          <w:bCs/>
          <w:b/>
        </w:rPr>
        <w:t xml:space="preserve">no</w:t>
      </w:r>
      <w:r>
        <w:t xml:space="preserve"> </w:t>
      </w:r>
      <w:r>
        <w:t xml:space="preserve">support for E1a's predicted advanced-over-emerging ordering. The cross-regime/multi-country pooled studies sit at the low end (MX,</w:t>
      </w:r>
      <w:r>
        <w:t xml:space="preserve"> </w:t>
      </w:r>
      <w:r>
        <w:rPr>
          <w:iCs/>
          <w:i/>
        </w:rPr>
        <w:t xml:space="preserve">r̄</w:t>
      </w:r>
      <w:r>
        <w:t xml:space="preserve"> </w:t>
      </w:r>
      <w:r>
        <w:t xml:space="preserve">= 0.064,</w:t>
      </w:r>
      <w:r>
        <w:t xml:space="preserve"> </w:t>
      </w:r>
      <w:r>
        <w:rPr>
          <w:iCs/>
          <w:i/>
        </w:rPr>
        <w:t xml:space="preserve">K</w:t>
      </w:r>
      <w:r>
        <w:t xml:space="preserve"> </w:t>
      </w:r>
      <w:r>
        <w:t xml:space="preserve">= 40),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0.249), which is the sole regime whose confidence interval does not overlap the pooled estimate; this cell rests on only</w:t>
      </w:r>
      <w:r>
        <w:t xml:space="preserve"> </w:t>
      </w:r>
      <w:r>
        <w:rPr>
          <w:iCs/>
          <w:i/>
        </w:rPr>
        <w:t xml:space="preserve">K</w:t>
      </w:r>
      <w:r>
        <w:t xml:space="preserve"> </w:t>
      </w:r>
      <w:r>
        <w:t xml:space="preserve">= 4 effects and is therefore statistically fragile and contrary to E1b's predicted Frontier floor. H1 (between-regime heterogeneity) is marginally supported (significant at the 10% but not the 5% level), and the only non-trivial departure is a small-sample Frontier spike rather than an institutional-quality gradient, and the regime-specific propositions require larger</w:t>
      </w:r>
      <w:r>
        <w:t xml:space="preserve"> </w:t>
      </w:r>
      <w:r>
        <w:rPr>
          <w:iCs/>
          <w:i/>
        </w:rPr>
        <w:t xml:space="preserve">K</w:t>
      </w:r>
      <w:r>
        <w:t xml:space="preserve"> </w:t>
      </w:r>
      <w:r>
        <w:t xml:space="preserve">per cell before they can be properly adjudicated.</w:t>
      </w:r>
    </w:p>
    <w:bookmarkEnd w:id="49"/>
    <w:bookmarkStart w:id="50" w:name="X541c92fe8ae9c523bbb1875dcc9c5525c218523"/>
    <w:p>
      <w:pPr>
        <w:pStyle w:val="Heading3"/>
      </w:pPr>
      <w:r>
        <w:t xml:space="preserve">4.4 cDAI Moderation (H3)</w:t>
      </w:r>
    </w:p>
    <w:p>
      <w:pPr>
        <w:pStyle w:val="FirstParagraph"/>
      </w:pPr>
      <w:r>
        <w:rPr>
          <w:iCs/>
          <w:i/>
        </w:rPr>
        <w:t xml:space="preserve">Q</w:t>
      </w:r>
      <w:r>
        <w:t xml:space="preserve">_M(cDAI) = 0.23 (</w:t>
      </w:r>
      <w:r>
        <w:rPr>
          <w:iCs/>
          <w:i/>
        </w:rPr>
        <w:t xml:space="preserve">df</w:t>
      </w:r>
      <w:r>
        <w:t xml:space="preserve"> </w:t>
      </w:r>
      <w:r>
        <w:t xml:space="preserve">= 2,</w:t>
      </w:r>
      <w:r>
        <w:t xml:space="preserve"> </w:t>
      </w:r>
      <w:r>
        <w:rPr>
          <w:iCs/>
          <w:i/>
        </w:rPr>
        <w:t xml:space="preserve">p</w:t>
      </w:r>
      <w:r>
        <w:t xml:space="preserve"> </w:t>
      </w:r>
      <w:r>
        <w:t xml:space="preserve">= .893). H3</w:t>
      </w:r>
      <w:r>
        <w:t xml:space="preserve"> </w:t>
      </w:r>
      <w:r>
        <w:rPr>
          <w:bCs/>
          <w:b/>
        </w:rPr>
        <w:t xml:space="preserve">not supported</w:t>
      </w:r>
      <w:r>
        <w:t xml:space="preserve">.</w:t>
      </w:r>
    </w:p>
    <w:p>
      <w:pPr>
        <w:pStyle w:val="BodyText"/>
      </w:pPr>
      <w:r>
        <w:rPr>
          <w:bCs/>
          <w:b/>
        </w:rPr>
        <w:t xml:space="preserve">Table 4.3 — cDAI subgroup</w:t>
      </w:r>
      <w:r>
        <w:t xml:space="preserve"> </w:t>
      </w:r>
      <w:r>
        <w:rPr>
          <w:iCs/>
          <w:i/>
        </w:rPr>
        <w:t xml:space="preserve">(actual MARA output; K = 307 cDAI-coded effects)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Low</w:t>
            </w:r>
          </w:p>
        </w:tc>
        <w:tc>
          <w:tcPr/>
          <w:p>
            <w:pPr>
              <w:pStyle w:val="Compact"/>
              <w:jc w:val="left"/>
            </w:pPr>
            <w:r>
              <w:t xml:space="preserve">175</w:t>
            </w:r>
          </w:p>
        </w:tc>
        <w:tc>
          <w:tcPr/>
          <w:p>
            <w:pPr>
              <w:pStyle w:val="Compact"/>
              <w:jc w:val="left"/>
            </w:pPr>
            <w:r>
              <w:t xml:space="preserve">0.076</w:t>
            </w:r>
          </w:p>
        </w:tc>
        <w:tc>
          <w:tcPr/>
          <w:p>
            <w:pPr>
              <w:pStyle w:val="Compact"/>
              <w:jc w:val="left"/>
            </w:pPr>
            <w:r>
              <w:t xml:space="preserve">[0.057, 0.095]</w:t>
            </w:r>
          </w:p>
        </w:tc>
        <w:tc>
          <w:tcPr/>
          <w:p>
            <w:pPr>
              <w:pStyle w:val="Compact"/>
              <w:jc w:val="left"/>
            </w:pPr>
            <w:r>
              <w:t xml:space="preserve">&lt; .001</w:t>
            </w:r>
          </w:p>
        </w:tc>
      </w:tr>
      <w:tr>
        <w:tc>
          <w:tcPr/>
          <w:p>
            <w:pPr>
              <w:pStyle w:val="Compact"/>
              <w:jc w:val="left"/>
            </w:pPr>
            <w:r>
              <w:t xml:space="preserve">Medium</w:t>
            </w:r>
          </w:p>
        </w:tc>
        <w:tc>
          <w:tcPr/>
          <w:p>
            <w:pPr>
              <w:pStyle w:val="Compact"/>
              <w:jc w:val="left"/>
            </w:pPr>
            <w:r>
              <w:t xml:space="preserve">81</w:t>
            </w:r>
          </w:p>
        </w:tc>
        <w:tc>
          <w:tcPr/>
          <w:p>
            <w:pPr>
              <w:pStyle w:val="Compact"/>
              <w:jc w:val="left"/>
            </w:pPr>
            <w:r>
              <w:t xml:space="preserve">0.071</w:t>
            </w:r>
          </w:p>
        </w:tc>
        <w:tc>
          <w:tcPr/>
          <w:p>
            <w:pPr>
              <w:pStyle w:val="Compact"/>
              <w:jc w:val="left"/>
            </w:pPr>
            <w:r>
              <w:t xml:space="preserve">[0.044, 0.097]</w:t>
            </w:r>
          </w:p>
        </w:tc>
        <w:tc>
          <w:tcPr/>
          <w:p>
            <w:pPr>
              <w:pStyle w:val="Compact"/>
              <w:jc w:val="left"/>
            </w:pPr>
            <w:r>
              <w:t xml:space="preserve">&lt; .001</w:t>
            </w:r>
          </w:p>
        </w:tc>
      </w:tr>
      <w:tr>
        <w:tc>
          <w:tcPr/>
          <w:p>
            <w:pPr>
              <w:pStyle w:val="Compact"/>
              <w:jc w:val="left"/>
            </w:pPr>
            <w:r>
              <w:t xml:space="preserve">High</w:t>
            </w:r>
          </w:p>
        </w:tc>
        <w:tc>
          <w:tcPr/>
          <w:p>
            <w:pPr>
              <w:pStyle w:val="Compact"/>
              <w:jc w:val="left"/>
            </w:pPr>
            <w:r>
              <w:t xml:space="preserve">51</w:t>
            </w:r>
          </w:p>
        </w:tc>
        <w:tc>
          <w:tcPr/>
          <w:p>
            <w:pPr>
              <w:pStyle w:val="Compact"/>
              <w:jc w:val="left"/>
            </w:pPr>
            <w:r>
              <w:t xml:space="preserve">0.080</w:t>
            </w:r>
          </w:p>
        </w:tc>
        <w:tc>
          <w:tcPr/>
          <w:p>
            <w:pPr>
              <w:pStyle w:val="Compact"/>
              <w:jc w:val="left"/>
            </w:pPr>
            <w:r>
              <w:t xml:space="preserve">[0.047, 0.113]</w:t>
            </w:r>
          </w:p>
        </w:tc>
        <w:tc>
          <w:tcPr/>
          <w:p>
            <w:pPr>
              <w:pStyle w:val="Compact"/>
              <w:jc w:val="left"/>
            </w:pPr>
            <w:r>
              <w:t xml:space="preserve">&lt; .001</w:t>
            </w:r>
          </w:p>
        </w:tc>
      </w:tr>
    </w:tbl>
    <w:p>
      <w:pPr>
        <w:pStyle w:val="BodyText"/>
      </w:pPr>
      <w:r>
        <w:t xml:space="preserve">The three cDAI subgroup means are all significantly positive (</w:t>
      </w:r>
      <w:r>
        <w:rPr>
          <w:iCs/>
          <w:i/>
        </w:rPr>
        <w:t xml:space="preserve">p</w:t>
      </w:r>
      <w:r>
        <w:t xml:space="preserve"> </w:t>
      </w:r>
      <w:r>
        <w:t xml:space="preserve">&lt; .001) but virtually identical and statistically indistinguishable (</w:t>
      </w:r>
      <w:r>
        <w:rPr>
          <w:iCs/>
          <w:i/>
        </w:rPr>
        <w:t xml:space="preserve">Q</w:t>
      </w:r>
      <w:r>
        <w:t xml:space="preserve">_M = 0.23,</w:t>
      </w:r>
      <w:r>
        <w:t xml:space="preserve"> </w:t>
      </w:r>
      <w:r>
        <w:rPr>
          <w:iCs/>
          <w:i/>
        </w:rPr>
        <w:t xml:space="preserve">p</w:t>
      </w:r>
      <w:r>
        <w:t xml:space="preserve"> </w:t>
      </w:r>
      <w:r>
        <w:t xml:space="preserve">= .893). The ordering (Low ≈ Medium ≈ High, range 0.071–0.080) shows no positive gradient, and the contrasts are far from significance. H3 is not supported: country-level digital adoption (cDAI, measured via the World Bank Digital Adoption Index / ITU Digital Development Index) does not amplify the pooled I→P effect in this sample. Because the main moderation is null, the cDAI × DPL interaction central to the Contextual Digital-Capability Mechanism is not estimated. The 21 multi-country effects without an attributable country index are excluded list-wise from this test (cDAI-coded</w:t>
      </w:r>
      <w:r>
        <w:t xml:space="preserve"> </w:t>
      </w:r>
      <w:r>
        <w:rPr>
          <w:iCs/>
          <w:i/>
        </w:rPr>
        <w:t xml:space="preserve">K</w:t>
      </w:r>
      <w:r>
        <w:t xml:space="preserve"> </w:t>
      </w:r>
      <w:r>
        <w:t xml:space="preserve">= 307); finer resolution across the cDAI spectrum is required before the amplifier hypothesis can be properly tested.</w:t>
      </w:r>
    </w:p>
    <w:bookmarkEnd w:id="50"/>
    <w:bookmarkStart w:id="54" w:name="X0f13fb15b20194b37c5b9d050ad7a7079c0644a"/>
    <w:p>
      <w:pPr>
        <w:pStyle w:val="Heading3"/>
      </w:pPr>
      <w:r>
        <w:t xml:space="preserve">4.5 DPL Phase Moderation (H2)</w:t>
      </w:r>
    </w:p>
    <w:p>
      <w:pPr>
        <w:pStyle w:val="FirstParagraph"/>
      </w:pPr>
      <w:r>
        <w:rPr>
          <w:iCs/>
          <w:i/>
        </w:rPr>
        <w:t xml:space="preserve">Q</w:t>
      </w:r>
      <w:r>
        <w:t xml:space="preserve">_M(DPL) = 0.47 (</w:t>
      </w:r>
      <w:r>
        <w:rPr>
          <w:iCs/>
          <w:i/>
        </w:rPr>
        <w:t xml:space="preserve">df</w:t>
      </w:r>
      <w:r>
        <w:t xml:space="preserve"> </w:t>
      </w:r>
      <w:r>
        <w:t xml:space="preserve">= 2,</w:t>
      </w:r>
      <w:r>
        <w:t xml:space="preserve"> </w:t>
      </w:r>
      <w:r>
        <w:rPr>
          <w:iCs/>
          <w:i/>
        </w:rPr>
        <w:t xml:space="preserve">p</w:t>
      </w:r>
      <w:r>
        <w:t xml:space="preserve"> </w:t>
      </w:r>
      <w:r>
        <w:t xml:space="preserve">= .789). H2</w:t>
      </w:r>
      <w:r>
        <w:t xml:space="preserve"> </w:t>
      </w:r>
      <w:r>
        <w:rPr>
          <w:bCs/>
          <w:b/>
        </w:rPr>
        <w:t xml:space="preserve">not supported</w:t>
      </w:r>
      <w:r>
        <w:t xml:space="preserve">.</w:t>
      </w:r>
    </w:p>
    <w:p>
      <w:pPr>
        <w:pStyle w:val="BodyText"/>
      </w:pPr>
      <w:r>
        <w:rPr>
          <w:bCs/>
          <w:b/>
        </w:rPr>
        <w:t xml:space="preserve">Table 4.4 —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Precede (PRE)</w:t>
            </w:r>
          </w:p>
        </w:tc>
        <w:tc>
          <w:tcPr/>
          <w:p>
            <w:pPr>
              <w:pStyle w:val="Compact"/>
              <w:jc w:val="left"/>
            </w:pPr>
            <w:r>
              <w:t xml:space="preserve">Sample data predominantly ≤ 2008</w:t>
            </w:r>
          </w:p>
        </w:tc>
        <w:tc>
          <w:tcPr/>
          <w:p>
            <w:pPr>
              <w:pStyle w:val="Compact"/>
              <w:jc w:val="left"/>
            </w:pPr>
            <w:r>
              <w:t xml:space="preserve">104</w:t>
            </w:r>
          </w:p>
        </w:tc>
        <w:tc>
          <w:tcPr/>
          <w:p>
            <w:pPr>
              <w:pStyle w:val="Compact"/>
              <w:jc w:val="left"/>
            </w:pPr>
            <w:r>
              <w:t xml:space="preserve">0.082</w:t>
            </w:r>
          </w:p>
        </w:tc>
        <w:tc>
          <w:tcPr/>
          <w:p>
            <w:pPr>
              <w:pStyle w:val="Compact"/>
              <w:jc w:val="left"/>
            </w:pPr>
            <w:r>
              <w:t xml:space="preserve">[0.058, 0.107]</w:t>
            </w:r>
          </w:p>
        </w:tc>
        <w:tc>
          <w:tcPr/>
          <w:p>
            <w:pPr>
              <w:pStyle w:val="Compact"/>
              <w:jc w:val="left"/>
            </w:pPr>
            <w:r>
              <w:t xml:space="preserve">&lt; .001</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128</w:t>
            </w:r>
          </w:p>
        </w:tc>
        <w:tc>
          <w:tcPr/>
          <w:p>
            <w:pPr>
              <w:pStyle w:val="Compact"/>
              <w:jc w:val="left"/>
            </w:pPr>
            <w:r>
              <w:t xml:space="preserve">0.071</w:t>
            </w:r>
          </w:p>
        </w:tc>
        <w:tc>
          <w:tcPr/>
          <w:p>
            <w:pPr>
              <w:pStyle w:val="Compact"/>
              <w:jc w:val="left"/>
            </w:pPr>
            <w:r>
              <w:t xml:space="preserve">[0.051, 0.092]</w:t>
            </w:r>
          </w:p>
        </w:tc>
        <w:tc>
          <w:tcPr/>
          <w:p>
            <w:pPr>
              <w:pStyle w:val="Compact"/>
              <w:jc w:val="left"/>
            </w:pPr>
            <w:r>
              <w:t xml:space="preserve">&lt; .001</w:t>
            </w:r>
          </w:p>
        </w:tc>
      </w:tr>
      <w:tr>
        <w:tc>
          <w:tcPr/>
          <w:p>
            <w:pPr>
              <w:pStyle w:val="Compact"/>
              <w:jc w:val="left"/>
            </w:pPr>
            <w:r>
              <w:t xml:space="preserve">Follow (FOL)</w:t>
            </w:r>
          </w:p>
        </w:tc>
        <w:tc>
          <w:tcPr/>
          <w:p>
            <w:pPr>
              <w:pStyle w:val="Compact"/>
              <w:jc w:val="left"/>
            </w:pPr>
            <w:r>
              <w:t xml:space="preserve">Sample data predominantly ≥ 2014</w:t>
            </w:r>
          </w:p>
        </w:tc>
        <w:tc>
          <w:tcPr/>
          <w:p>
            <w:pPr>
              <w:pStyle w:val="Compact"/>
              <w:jc w:val="left"/>
            </w:pPr>
            <w:r>
              <w:t xml:space="preserve">96</w:t>
            </w:r>
          </w:p>
        </w:tc>
        <w:tc>
          <w:tcPr/>
          <w:p>
            <w:pPr>
              <w:pStyle w:val="Compact"/>
              <w:jc w:val="left"/>
            </w:pPr>
            <w:r>
              <w:t xml:space="preserve">0.077</w:t>
            </w:r>
          </w:p>
        </w:tc>
        <w:tc>
          <w:tcPr/>
          <w:p>
            <w:pPr>
              <w:pStyle w:val="Compact"/>
              <w:jc w:val="left"/>
            </w:pPr>
            <w:r>
              <w:t xml:space="preserve">[0.053, 0.100]</w:t>
            </w:r>
          </w:p>
        </w:tc>
        <w:tc>
          <w:tcPr/>
          <w:p>
            <w:pPr>
              <w:pStyle w:val="Compact"/>
              <w:jc w:val="left"/>
            </w:pPr>
            <w:r>
              <w:t xml:space="preserve">&lt; .001</w:t>
            </w:r>
          </w:p>
        </w:tc>
      </w:tr>
    </w:tbl>
    <w:p>
      <w:pPr>
        <w:pStyle w:val="BodyText"/>
      </w:pPr>
      <w:r>
        <w:t xml:space="preserve">All three phase means are positive and significant but mutually indistinguishable (</w:t>
      </w:r>
      <w:r>
        <w:rPr>
          <w:iCs/>
          <w:i/>
        </w:rPr>
        <w:t xml:space="preserve">Q</w:t>
      </w:r>
      <w:r>
        <w:t xml:space="preserve">_M = 0.47,</w:t>
      </w:r>
      <w:r>
        <w:t xml:space="preserve"> </w:t>
      </w:r>
      <w:r>
        <w:rPr>
          <w:iCs/>
          <w:i/>
        </w:rPr>
        <w:t xml:space="preserve">p</w:t>
      </w:r>
      <w:r>
        <w:t xml:space="preserve"> </w:t>
      </w:r>
      <w:r>
        <w:t xml:space="preserve">= .789); the observed range (0.071–0.082) is trivial relative to the confidence intervals. The ordering (PRE &gt; FOL &gt; SPN) is non-monotone and opposite to H2's predicted FOL &gt; SPN &gt; PRE escalation, but the between-phase differences are negligible and should not be interpreted substantively. The null DPL result may reflect insufficient power to detect small temporal trends, confounding between DPL phase and ICRV composition (pre-2009 studies concentrated in advanced economies), or that the Digital Paradox Lifecycle inflection does not manifest at meta-analytic resolution. H2 is not supported.</w:t>
      </w:r>
    </w:p>
    <w:p>
      <w:pPr>
        <w:pStyle w:val="BodyText"/>
      </w:pPr>
      <w:r>
        <w:drawing>
          <wp:inline>
            <wp:extent cx="5334000" cy="4083020"/>
            <wp:effectExtent b="0" l="0" r="0" t="0"/>
            <wp:docPr descr="Figure 3: DPL phase moderation — pooled I→P effect by digital adoption epoch" title="" id="52" name="Picture"/>
            <a:graphic>
              <a:graphicData uri="http://schemas.openxmlformats.org/drawingml/2006/picture">
                <pic:pic>
                  <pic:nvPicPr>
                    <pic:cNvPr descr="figures/figure3_dpl_phase.png" id="53" name="Picture"/>
                    <pic:cNvPicPr>
                      <a:picLocks noChangeArrowheads="1" noChangeAspect="1"/>
                    </pic:cNvPicPr>
                  </pic:nvPicPr>
                  <pic:blipFill>
                    <a:blip r:embed="rId51"/>
                    <a:stretch>
                      <a:fillRect/>
                    </a:stretch>
                  </pic:blipFill>
                  <pic:spPr bwMode="auto">
                    <a:xfrm>
                      <a:off x="0" y="0"/>
                      <a:ext cx="5334000" cy="4083020"/>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DPL phase subgroup results. Pooled effect sizes by Precede / Span / Follow epoch with 95% CI. The between-phase differences are small and non-significant.</w:t>
      </w:r>
    </w:p>
    <w:bookmarkEnd w:id="54"/>
    <w:bookmarkStart w:id="58" w:name="X19c46ecf699f27e790e5a8fa6520cb51f104e4a"/>
    <w:p>
      <w:pPr>
        <w:pStyle w:val="Heading3"/>
      </w:pPr>
      <w:r>
        <w:t xml:space="preserve">4.6 Publication Bias (H4)</w:t>
      </w:r>
    </w:p>
    <w:p>
      <w:pPr>
        <w:pStyle w:val="FirstParagraph"/>
      </w:pPr>
      <w:r>
        <w:t xml:space="preserve">H4 receives</w:t>
      </w:r>
      <w:r>
        <w:t xml:space="preserve"> </w:t>
      </w:r>
      <w:r>
        <w:rPr>
          <w:bCs/>
          <w:b/>
        </w:rPr>
        <w:t xml:space="preserve">mixed (partial) support</w:t>
      </w:r>
      <w:r>
        <w:t xml:space="preserve">: rank-based and imputation diagnostics detect funnel asymmetry, but the regression-based test is only marginal, and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0.434 (</w:t>
      </w:r>
      <w:r>
        <w:rPr>
          <w:iCs/>
          <w:i/>
        </w:rPr>
        <w:t xml:space="preserve">SE</w:t>
      </w:r>
      <w:r>
        <w:t xml:space="preserve"> </w:t>
      </w:r>
      <w:r>
        <w:t xml:space="preserve">= 0.230,</w:t>
      </w:r>
      <w:r>
        <w:t xml:space="preserve"> </w:t>
      </w:r>
      <w:r>
        <w:rPr>
          <w:iCs/>
          <w:i/>
        </w:rPr>
        <w:t xml:space="preserve">p</w:t>
      </w:r>
      <w:r>
        <w:t xml:space="preserve"> </w:t>
      </w:r>
      <w:r>
        <w:t xml:space="preserve">= .059) — marginal and</w:t>
      </w:r>
      <w:r>
        <w:t xml:space="preserve"> </w:t>
      </w:r>
      <w:r>
        <w:rPr>
          <w:bCs/>
          <w:b/>
        </w:rPr>
        <w:t xml:space="preserve">not</w:t>
      </w:r>
      <w:r>
        <w:t xml:space="preserve"> </w:t>
      </w:r>
      <w:r>
        <w:t xml:space="preserve">significant at α = .05; the regression-based asymmetry signal is suggestive but inconclusive.</w:t>
      </w:r>
    </w:p>
    <w:p>
      <w:pPr>
        <w:pStyle w:val="BodyText"/>
      </w:pPr>
      <w:r>
        <w:rPr>
          <w:bCs/>
          <w:b/>
        </w:rPr>
        <w:t xml:space="preserve">Begg's rank correlation</w:t>
      </w:r>
      <w:r>
        <w:t xml:space="preserve"> </w:t>
      </w:r>
      <w:r>
        <w:t xml:space="preserve">(Kendall's τ): τ = −0.119,</w:t>
      </w:r>
      <w:r>
        <w:t xml:space="preserve"> </w:t>
      </w:r>
      <w:r>
        <w:rPr>
          <w:iCs/>
          <w:i/>
        </w:rPr>
        <w:t xml:space="preserve">p</w:t>
      </w:r>
      <w:r>
        <w:t xml:space="preserve"> </w:t>
      </w:r>
      <w:r>
        <w:t xml:space="preserve">= .001 — significant funnel asymmetry; studies with larger standard errors (smaller</w:t>
      </w:r>
      <w:r>
        <w:t xml:space="preserve"> </w:t>
      </w:r>
      <w:r>
        <w:rPr>
          <w:iCs/>
          <w:i/>
        </w:rPr>
        <w:t xml:space="preserve">n</w:t>
      </w:r>
      <w:r>
        <w:t xml:space="preserve">) report systematically lower effect sizes, consistent with bias against null or negative findings.</w:t>
      </w:r>
    </w:p>
    <w:p>
      <w:pPr>
        <w:pStyle w:val="BodyText"/>
      </w:pPr>
      <w:r>
        <w:rPr>
          <w:bCs/>
          <w:b/>
        </w:rPr>
        <w:t xml:space="preserve">Trim-and-fill</w:t>
      </w:r>
      <w:r>
        <w:t xml:space="preserve">: imputes</w:t>
      </w:r>
      <w:r>
        <w:t xml:space="preserve"> </w:t>
      </w:r>
      <w:r>
        <w:rPr>
          <w:iCs/>
          <w:i/>
        </w:rPr>
        <w:t xml:space="preserve">k</w:t>
      </w:r>
      <w:r>
        <w:t xml:space="preserve">₀ = 58 missing studies (left side); adjusted pooled</w:t>
      </w:r>
      <w:r>
        <w:t xml:space="preserve"> </w:t>
      </w:r>
      <w:r>
        <w:rPr>
          <w:iCs/>
          <w:i/>
        </w:rPr>
        <w:t xml:space="preserve">r̄</w:t>
      </w:r>
      <w:r>
        <w:t xml:space="preserve"> </w:t>
      </w:r>
      <w:r>
        <w:t xml:space="preserve">= 0.041 (95% CI [0.030, 0.052]) — a conservative lower bound. The effect remains positive and significant but is roughly halved relative to the raw estimate (0.076 → 0.041).</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81,712, far exceeding the criterion of 5</w:t>
      </w:r>
      <w:r>
        <w:rPr>
          <w:iCs/>
          <w:i/>
        </w:rPr>
        <w:t xml:space="preserve">k</w:t>
      </w:r>
      <w:r>
        <w:t xml:space="preserve"> </w:t>
      </w:r>
      <w:r>
        <w:t xml:space="preserve">+ 10 = 1,410; the pooled effect's statistical significance is not attributable to a "file-drawer" of unpublished nulls.</w:t>
      </w:r>
    </w:p>
    <w:p>
      <w:pPr>
        <w:pStyle w:val="BodyText"/>
      </w:pPr>
      <w:r>
        <w:t xml:space="preserve">The diagnostics diverge: Begg's test and trim-and-fill indicate left-side asymmetry, whereas Egger's regression is only marginal (</w:t>
      </w:r>
      <w:r>
        <w:rPr>
          <w:iCs/>
          <w:i/>
        </w:rPr>
        <w:t xml:space="preserve">p</w:t>
      </w:r>
      <w:r>
        <w:t xml:space="preserve"> </w:t>
      </w:r>
      <w:r>
        <w:t xml:space="preserve">= .059). Read together with the substantial unexplained heterogeneity (</w:t>
      </w:r>
      <w:r>
        <w:rPr>
          <w:iCs/>
          <w:i/>
        </w:rPr>
        <w:t xml:space="preserve">I</w:t>
      </w:r>
      <w:r>
        <w:t xml:space="preserve">² = 65.9%) and the largely null moderator tests (§§4.3–4.5), the evidence suggests the published average I→P effect is</w:t>
      </w:r>
      <w:r>
        <w:t xml:space="preserve"> </w:t>
      </w:r>
      <w:r>
        <w:rPr>
          <w:bCs/>
          <w:b/>
        </w:rPr>
        <w:t xml:space="preserve">modestly inflated</w:t>
      </w:r>
      <w:r>
        <w:t xml:space="preserve"> </w:t>
      </w:r>
      <w:r>
        <w:t xml:space="preserve">rather than spurious. The trim-and-fill–adjusted estimate (</w:t>
      </w:r>
      <w:r>
        <w:rPr>
          <w:iCs/>
          <w:i/>
        </w:rPr>
        <w:t xml:space="preserve">r̄</w:t>
      </w:r>
      <w:r>
        <w:t xml:space="preserve"> </w:t>
      </w:r>
      <w:r>
        <w:t xml:space="preserve">≈ 0.041) is best read as a conservative lower bound on a small but genuinely positive population effect.</w:t>
      </w:r>
    </w:p>
    <w:p>
      <w:pPr>
        <w:pStyle w:val="BodyText"/>
      </w:pPr>
      <w:r>
        <w:drawing>
          <wp:inline>
            <wp:extent cx="5334000" cy="4266240"/>
            <wp:effectExtent b="0" l="0" r="0" t="0"/>
            <wp:docPr descr="Figure 5: Funnel plot with trim-and-fill imputed studies" title="" id="56" name="Picture"/>
            <a:graphic>
              <a:graphicData uri="http://schemas.openxmlformats.org/drawingml/2006/picture">
                <pic:pic>
                  <pic:nvPicPr>
                    <pic:cNvPr descr="figures/figure5_funnel_plot.png" id="57" name="Picture"/>
                    <pic:cNvPicPr>
                      <a:picLocks noChangeArrowheads="1" noChangeAspect="1"/>
                    </pic:cNvPicPr>
                  </pic:nvPicPr>
                  <pic:blipFill>
                    <a:blip r:embed="rId55"/>
                    <a:stretch>
                      <a:fillRect/>
                    </a:stretch>
                  </pic:blipFill>
                  <pic:spPr bwMode="auto">
                    <a:xfrm>
                      <a:off x="0" y="0"/>
                      <a:ext cx="5334000" cy="4266240"/>
                    </a:xfrm>
                    <a:prstGeom prst="rect">
                      <a:avLst/>
                    </a:prstGeom>
                    <a:noFill/>
                    <a:ln w="9525">
                      <a:noFill/>
                      <a:headEnd/>
                      <a:tailEnd/>
                    </a:ln>
                  </pic:spPr>
                </pic:pic>
              </a:graphicData>
            </a:graphic>
          </wp:inline>
        </w:drawing>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₀ = 58). Left-side asymmetry is visible; the adjusted pooled effect is</w:t>
      </w:r>
      <w:r>
        <w:t xml:space="preserve"> </w:t>
      </w:r>
      <w:r>
        <w:rPr>
          <w:iCs/>
          <w:i/>
        </w:rPr>
        <w:t xml:space="preserve">r</w:t>
      </w:r>
      <w:r>
        <w:t xml:space="preserve"> </w:t>
      </w:r>
      <w:r>
        <w:t xml:space="preserve">= 0.041.</w:t>
      </w:r>
    </w:p>
    <w:bookmarkEnd w:id="58"/>
    <w:bookmarkStart w:id="62"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328</w:t>
            </w:r>
          </w:p>
        </w:tc>
        <w:tc>
          <w:tcPr/>
          <w:p>
            <w:pPr>
              <w:pStyle w:val="Compact"/>
              <w:jc w:val="left"/>
            </w:pPr>
            <w:r>
              <w:t xml:space="preserve">0.076</w:t>
            </w:r>
          </w:p>
        </w:tc>
        <w:tc>
          <w:tcPr/>
          <w:p>
            <w:pPr>
              <w:pStyle w:val="Compact"/>
              <w:jc w:val="left"/>
            </w:pPr>
            <w:r>
              <w:t xml:space="preserve">[0.063, 0.089]</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271</w:t>
            </w:r>
          </w:p>
        </w:tc>
        <w:tc>
          <w:tcPr/>
          <w:p>
            <w:pPr>
              <w:pStyle w:val="Compact"/>
              <w:jc w:val="left"/>
            </w:pPr>
            <w:r>
              <w:t xml:space="preserve">0.078</w:t>
            </w:r>
          </w:p>
        </w:tc>
        <w:tc>
          <w:tcPr/>
          <w:p>
            <w:pPr>
              <w:pStyle w:val="Compact"/>
              <w:jc w:val="left"/>
            </w:pPr>
            <w:r>
              <w:t xml:space="preserve">[0.062,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 (a-priori)</w:t>
            </w:r>
          </w:p>
        </w:tc>
        <w:tc>
          <w:tcPr/>
          <w:p>
            <w:pPr>
              <w:pStyle w:val="Compact"/>
              <w:jc w:val="left"/>
            </w:pPr>
            <w:r>
              <w:t xml:space="preserve">328</w:t>
            </w:r>
          </w:p>
        </w:tc>
        <w:tc>
          <w:tcPr/>
          <w:p>
            <w:pPr>
              <w:pStyle w:val="Compact"/>
              <w:jc w:val="left"/>
            </w:pPr>
            <w:r>
              <w:t xml:space="preserve">0.076</w:t>
            </w:r>
          </w:p>
        </w:tc>
        <w:tc>
          <w:tcPr/>
          <w:p>
            <w:pPr>
              <w:pStyle w:val="Compact"/>
              <w:jc w:val="left"/>
            </w:pPr>
            <w:r>
              <w:t xml:space="preserve">[0.063, 0.089]</w:t>
            </w:r>
          </w:p>
        </w:tc>
        <w:tc>
          <w:tcPr/>
          <w:p>
            <w:pPr>
              <w:pStyle w:val="Compact"/>
              <w:jc w:val="left"/>
            </w:pPr>
            <w:r>
              <w:t xml:space="preserve">Applied in main</w:t>
            </w:r>
          </w:p>
        </w:tc>
      </w:tr>
      <w:tr>
        <w:tc>
          <w:tcPr/>
          <w:p>
            <w:pPr>
              <w:pStyle w:val="Compact"/>
              <w:jc w:val="left"/>
            </w:pPr>
            <w:r>
              <w:t xml:space="preserve">ACC performance only</w:t>
            </w:r>
          </w:p>
        </w:tc>
        <w:tc>
          <w:tcPr/>
          <w:p>
            <w:pPr>
              <w:pStyle w:val="Compact"/>
              <w:jc w:val="left"/>
            </w:pPr>
            <w:r>
              <w:t xml:space="preserve">259</w:t>
            </w:r>
          </w:p>
        </w:tc>
        <w:tc>
          <w:tcPr/>
          <w:p>
            <w:pPr>
              <w:pStyle w:val="Compact"/>
              <w:jc w:val="left"/>
            </w:pPr>
            <w:r>
              <w:t xml:space="preserve">0.073</w:t>
            </w:r>
          </w:p>
        </w:tc>
        <w:tc>
          <w:tcPr/>
          <w:p>
            <w:pPr>
              <w:pStyle w:val="Compact"/>
              <w:jc w:val="left"/>
            </w:pPr>
            <w:r>
              <w:t xml:space="preserve">[0.058, 0.088]</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140</w:t>
            </w:r>
          </w:p>
        </w:tc>
        <w:tc>
          <w:tcPr/>
          <w:p>
            <w:pPr>
              <w:pStyle w:val="Compact"/>
              <w:jc w:val="left"/>
            </w:pPr>
            <w:r>
              <w:t xml:space="preserve">0.061</w:t>
            </w:r>
          </w:p>
        </w:tc>
        <w:tc>
          <w:tcPr/>
          <w:p>
            <w:pPr>
              <w:pStyle w:val="Compact"/>
              <w:jc w:val="left"/>
            </w:pPr>
            <w:r>
              <w:t xml:space="preserve">[0.043, 0.079]</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328</w:t>
            </w:r>
          </w:p>
        </w:tc>
        <w:tc>
          <w:tcPr/>
          <w:p>
            <w:pPr>
              <w:pStyle w:val="Compact"/>
              <w:jc w:val="left"/>
            </w:pPr>
            <w:r>
              <w:t xml:space="preserve">0.075</w:t>
            </w:r>
          </w:p>
        </w:tc>
        <w:tc>
          <w:tcPr/>
          <w:p>
            <w:pPr>
              <w:pStyle w:val="Compact"/>
              <w:jc w:val="left"/>
            </w:pPr>
            <w:r>
              <w:t xml:space="preserve">[0.064,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328</w:t>
            </w:r>
          </w:p>
        </w:tc>
        <w:tc>
          <w:tcPr/>
          <w:p>
            <w:pPr>
              <w:pStyle w:val="Compact"/>
              <w:jc w:val="left"/>
            </w:pPr>
            <w:r>
              <w:t xml:space="preserve">[0.073, 0.076]</w:t>
            </w:r>
          </w:p>
        </w:tc>
        <w:tc>
          <w:tcPr/>
          <w:p>
            <w:pPr>
              <w:pStyle w:val="Compact"/>
              <w:jc w:val="left"/>
            </w:pPr>
            <w:r>
              <w:t xml:space="preserve">—</w:t>
            </w:r>
          </w:p>
        </w:tc>
        <w:tc>
          <w:tcPr/>
          <w:p>
            <w:pPr>
              <w:pStyle w:val="Compact"/>
              <w:jc w:val="left"/>
            </w:pPr>
            <w:r>
              <w:t xml:space="preserve">0/330 change direction</w:t>
            </w:r>
          </w:p>
        </w:tc>
      </w:tr>
    </w:tbl>
    <w:p>
      <w:pPr>
        <w:pStyle w:val="BodyText"/>
      </w:pPr>
      <w:r>
        <w:t xml:space="preserve">The baseline</w:t>
      </w:r>
      <w:r>
        <w:t xml:space="preserve"> </w:t>
      </w:r>
      <w:r>
        <w:rPr>
          <w:iCs/>
          <w:i/>
        </w:rPr>
        <w:t xml:space="preserve">r̄</w:t>
      </w:r>
      <w:r>
        <w:t xml:space="preserve"> </w:t>
      </w:r>
      <w:r>
        <w:t xml:space="preserve">= 0.076 is robust across all sensitivity checks. The leave-one-out range [0.073, 0.076] confirms that no single study drives the result (0 of 328 iterations change the sign or significance). The DL two-level estimator returns a near-identical point estimate (0.075), confirming that three-level nesting adds precision without biasing the pooled effect. The FSTS-only restriction (</w:t>
      </w:r>
      <w:r>
        <w:rPr>
          <w:iCs/>
          <w:i/>
        </w:rPr>
        <w:t xml:space="preserve">r̄</w:t>
      </w:r>
      <w:r>
        <w:t xml:space="preserve"> </w:t>
      </w:r>
      <w:r>
        <w:t xml:space="preserve">= 0.061,</w:t>
      </w:r>
      <w:r>
        <w:t xml:space="preserve"> </w:t>
      </w:r>
      <w:r>
        <w:rPr>
          <w:iCs/>
          <w:i/>
        </w:rPr>
        <w:t xml:space="preserve">K</w:t>
      </w:r>
      <w:r>
        <w:t xml:space="preserve"> </w:t>
      </w:r>
      <w:r>
        <w:t xml:space="preserve">= 140) is the most conservative measurement check and remains positive and significant, indicating that DOI operationalization heterogeneity modestly inflates the pooled effect when broader DOI measures are pooled in. The accounting-performance subset (</w:t>
      </w:r>
      <w:r>
        <w:rPr>
          <w:iCs/>
          <w:i/>
        </w:rPr>
        <w:t xml:space="preserve">r̄</w:t>
      </w:r>
      <w:r>
        <w:t xml:space="preserve"> </w:t>
      </w:r>
      <w:r>
        <w:t xml:space="preserve">= 0.073,</w:t>
      </w:r>
      <w:r>
        <w:t xml:space="preserve"> </w:t>
      </w:r>
      <w:r>
        <w:rPr>
          <w:iCs/>
          <w:i/>
        </w:rPr>
        <w:t xml:space="preserve">K</w:t>
      </w:r>
      <w:r>
        <w:t xml:space="preserve"> </w:t>
      </w:r>
      <w:r>
        <w:t xml:space="preserve">= 259), which dominates the corpus, closely tracks the overall estimate.</w:t>
      </w:r>
    </w:p>
    <w:p>
      <w:pPr>
        <w:pStyle w:val="BodyText"/>
      </w:pPr>
      <w:r>
        <w:drawing>
          <wp:inline>
            <wp:extent cx="5334000" cy="2344725"/>
            <wp:effectExtent b="0" l="0" r="0" t="0"/>
            <wp:docPr descr="Figure 4: Leave-one-out sensitivity — pooled r̄ range across leave-one-out iterations" title="" id="60" name="Picture"/>
            <a:graphic>
              <a:graphicData uri="http://schemas.openxmlformats.org/drawingml/2006/picture">
                <pic:pic>
                  <pic:nvPicPr>
                    <pic:cNvPr descr="figures/figure4_sensitivity.png" id="61" name="Picture"/>
                    <pic:cNvPicPr>
                      <a:picLocks noChangeArrowheads="1" noChangeAspect="1"/>
                    </pic:cNvPicPr>
                  </pic:nvPicPr>
                  <pic:blipFill>
                    <a:blip r:embed="rId59"/>
                    <a:stretch>
                      <a:fillRect/>
                    </a:stretch>
                  </pic:blipFill>
                  <pic:spPr bwMode="auto">
                    <a:xfrm>
                      <a:off x="0" y="0"/>
                      <a:ext cx="5334000" cy="2344725"/>
                    </a:xfrm>
                    <a:prstGeom prst="rect">
                      <a:avLst/>
                    </a:prstGeom>
                    <a:noFill/>
                    <a:ln w="9525">
                      <a:noFill/>
                      <a:headEnd/>
                      <a:tailEnd/>
                    </a:ln>
                  </pic:spPr>
                </pic:pic>
              </a:graphicData>
            </a:graphic>
          </wp:inline>
        </w:drawing>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62"/>
    <w:bookmarkEnd w:id="63"/>
    <w:bookmarkStart w:id="68" w:name="X735612638e4e736e4693e459c258977262c0dfc"/>
    <w:p>
      <w:pPr>
        <w:pStyle w:val="Heading2"/>
      </w:pPr>
      <w:r>
        <w:t xml:space="preserve">5. Discussion</w:t>
      </w:r>
    </w:p>
    <w:bookmarkStart w:id="64"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0.076,</w:t>
      </w:r>
      <w:r>
        <w:t xml:space="preserve"> </w:t>
      </w:r>
      <w:r>
        <w:rPr>
          <w:iCs/>
          <w:i/>
        </w:rPr>
        <w:t xml:space="preserve">k</w:t>
      </w:r>
      <w:r>
        <w:t xml:space="preserve"> </w:t>
      </w:r>
      <w:r>
        <w:t xml:space="preserve">= 278) is consistent with country-level evidence from across the global study corpus, including the Asia-Pacific primary studies underlying the ICBEF 2025 baseline ([Authors], 2024).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(ICRV = I,</w:t>
      </w:r>
      <w:r>
        <w:rPr>
          <w:bCs/>
          <w:b/>
        </w:rPr>
        <w:t xml:space="preserve"> </w:t>
      </w:r>
      <w:r>
        <w:rPr>
          <w:iCs/>
          <w:i/>
          <w:bCs/>
          <w:b/>
        </w:rPr>
        <w:t xml:space="preserve">K</w:t>
      </w:r>
      <w:r>
        <w:rPr>
          <w:bCs/>
          <w:b/>
        </w:rPr>
        <w:t xml:space="preserve"> </w:t>
      </w:r>
      <w:r>
        <w:rPr>
          <w:bCs/>
          <w:b/>
        </w:rPr>
        <w:t xml:space="preserve">= 158;</w:t>
      </w:r>
      <w:r>
        <w:rPr>
          <w:bCs/>
          <w:b/>
        </w:rPr>
        <w:t xml:space="preserve"> </w:t>
      </w:r>
      <w:r>
        <w:rPr>
          <w:iCs/>
          <w:i/>
          <w:bCs/>
          <w:b/>
        </w:rPr>
        <w:t xml:space="preserve">r̄</w:t>
      </w:r>
      <w:r>
        <w:rPr>
          <w:bCs/>
          <w:b/>
        </w:rPr>
        <w:t xml:space="preserve"> </w:t>
      </w:r>
      <w:r>
        <w:rPr>
          <w:bCs/>
          <w:b/>
        </w:rPr>
        <w:t xml:space="preserve">= 0.080):</w:t>
      </w:r>
      <w:r>
        <w:t xml:space="preserve"> </w:t>
      </w:r>
      <w:r>
        <w:t xml:space="preserve">The Advanced-Innovation group records the highest effect among the well-populated regimes, directionally consistent with institutional complementarity theory: strong contract enforcement, IP protection, and low liability of foreignness (Zaheer, 1995) allow firms to sustain productive internationalization without the coordination-cost penalties visible in weaker environments (North, 1990; Peng et al., 2008). The margin over the other single-country regimes is, however, small.</w:t>
      </w:r>
    </w:p>
    <w:p>
      <w:pPr>
        <w:pStyle w:val="BodyText"/>
      </w:pPr>
      <w:r>
        <w:rPr>
          <w:bCs/>
          <w:b/>
        </w:rPr>
        <w:t xml:space="preserve">Emerging and Upper-middle contexts (ICRV = III,</w:t>
      </w:r>
      <w:r>
        <w:rPr>
          <w:bCs/>
          <w:b/>
        </w:rPr>
        <w:t xml:space="preserve"> </w:t>
      </w:r>
      <w:r>
        <w:rPr>
          <w:iCs/>
          <w:i/>
          <w:bCs/>
          <w:b/>
        </w:rPr>
        <w:t xml:space="preserve">K</w:t>
      </w:r>
      <w:r>
        <w:rPr>
          <w:bCs/>
          <w:b/>
        </w:rPr>
        <w:t xml:space="preserve"> </w:t>
      </w:r>
      <w:r>
        <w:rPr>
          <w:bCs/>
          <w:b/>
        </w:rPr>
        <w:t xml:space="preserve">= 95,</w:t>
      </w:r>
      <w:r>
        <w:rPr>
          <w:bCs/>
          <w:b/>
        </w:rPr>
        <w:t xml:space="preserve"> </w:t>
      </w:r>
      <w:r>
        <w:rPr>
          <w:iCs/>
          <w:i/>
          <w:bCs/>
          <w:b/>
        </w:rPr>
        <w:t xml:space="preserve">r̄</w:t>
      </w:r>
      <w:r>
        <w:rPr>
          <w:bCs/>
          <w:b/>
        </w:rPr>
        <w:t xml:space="preserve"> </w:t>
      </w:r>
      <w:r>
        <w:rPr>
          <w:bCs/>
          <w:b/>
        </w:rPr>
        <w:t xml:space="preserve">= 0.074; ICRV = II,</w:t>
      </w:r>
      <w:r>
        <w:rPr>
          <w:bCs/>
          <w:b/>
        </w:rPr>
        <w:t xml:space="preserve"> </w:t>
      </w:r>
      <w:r>
        <w:rPr>
          <w:iCs/>
          <w:i/>
          <w:bCs/>
          <w:b/>
        </w:rPr>
        <w:t xml:space="preserve">K</w:t>
      </w:r>
      <w:r>
        <w:rPr>
          <w:bCs/>
          <w:b/>
        </w:rPr>
        <w:t xml:space="preserve"> </w:t>
      </w:r>
      <w:r>
        <w:rPr>
          <w:bCs/>
          <w:b/>
        </w:rPr>
        <w:t xml:space="preserve">= 32,</w:t>
      </w:r>
      <w:r>
        <w:rPr>
          <w:bCs/>
          <w:b/>
        </w:rPr>
        <w:t xml:space="preserve"> </w:t>
      </w:r>
      <w:r>
        <w:rPr>
          <w:iCs/>
          <w:i/>
          <w:bCs/>
          <w:b/>
        </w:rPr>
        <w:t xml:space="preserve">r̄</w:t>
      </w:r>
      <w:r>
        <w:rPr>
          <w:bCs/>
          <w:b/>
        </w:rPr>
        <w:t xml:space="preserve"> </w:t>
      </w:r>
      <w:r>
        <w:rPr>
          <w:bCs/>
          <w:b/>
        </w:rPr>
        <w:t xml:space="preserve">= 0.065):</w:t>
      </w:r>
      <w:r>
        <w:t xml:space="preserve"> </w:t>
      </w:r>
      <w:r>
        <w:t xml:space="preserve">With the expanded corpus, the Emerging regime is now well-populated (</w:t>
      </w:r>
      <w:r>
        <w:rPr>
          <w:iCs/>
          <w:i/>
        </w:rPr>
        <w:t xml:space="preserve">K</w:t>
      </w:r>
      <w:r>
        <w:t xml:space="preserve"> </w:t>
      </w:r>
      <w:r>
        <w:t xml:space="preserve">= 95) and yields a reliable, significantly positive effect that is statistically indistinguishable from the Advanced estimate. This flat gradient across Advanced (0.080), Emerging (0.074), and Upper-middle (0.065) regimes is the central substantive result of the moderation analysis: institutional quality, as captured by the ICRV ordering, does</w:t>
      </w:r>
      <w:r>
        <w:t xml:space="preserve"> </w:t>
      </w:r>
      <w:r>
        <w:rPr>
          <w:bCs/>
          <w:b/>
        </w:rPr>
        <w:t xml:space="preserve">not</w:t>
      </w:r>
      <w:r>
        <w:t xml:space="preserve"> </w:t>
      </w:r>
      <w:r>
        <w:t xml:space="preserve">scale the I→P return in the predicted direction. At the primary-study level, [Authors] (2025) document a negative aggregate DOI coefficient on 380 Indian WBES firms (FGLS estimation), with manager experience and female top-management leadership as positive moderating factors — consistent with CIMT's prediction that firm-level compensating resources partially offset institutional friction in Emerging environments.</w:t>
      </w:r>
    </w:p>
    <w:p>
      <w:pPr>
        <w:pStyle w:val="BodyText"/>
      </w:pPr>
      <w:r>
        <w:rPr>
          <w:bCs/>
          <w:b/>
        </w:rPr>
        <w:t xml:space="preserve">Frontier contexts (ICRV = FR,</w:t>
      </w:r>
      <w:r>
        <w:rPr>
          <w:bCs/>
          <w:b/>
        </w:rPr>
        <w:t xml:space="preserve"> </w:t>
      </w:r>
      <w:r>
        <w:rPr>
          <w:iCs/>
          <w:i/>
          <w:bCs/>
          <w:b/>
        </w:rPr>
        <w:t xml:space="preserve">K</w:t>
      </w:r>
      <w:r>
        <w:rPr>
          <w:bCs/>
          <w:b/>
        </w:rPr>
        <w:t xml:space="preserve"> </w:t>
      </w:r>
      <w:r>
        <w:rPr>
          <w:bCs/>
          <w:b/>
        </w:rPr>
        <w:t xml:space="preserve">= 4;</w:t>
      </w:r>
      <w:r>
        <w:rPr>
          <w:bCs/>
          <w:b/>
        </w:rPr>
        <w:t xml:space="preserve"> </w:t>
      </w:r>
      <w:r>
        <w:rPr>
          <w:iCs/>
          <w:i/>
          <w:bCs/>
          <w:b/>
        </w:rPr>
        <w:t xml:space="preserve">r̄</w:t>
      </w:r>
      <w:r>
        <w:rPr>
          <w:bCs/>
          <w:b/>
        </w:rPr>
        <w:t xml:space="preserve"> </w:t>
      </w:r>
      <w:r>
        <w:rPr>
          <w:bCs/>
          <w:b/>
        </w:rPr>
        <w:t xml:space="preserve">= 0.249):</w:t>
      </w:r>
      <w:r>
        <w:t xml:space="preserve"> </w:t>
      </w:r>
      <w:r>
        <w:t xml:space="preserve">The</w:t>
      </w:r>
      <w:r>
        <w:t xml:space="preserve"> </w:t>
      </w:r>
      <w:r>
        <w:rPr>
          <w:iCs/>
          <w:i/>
        </w:rPr>
        <w:t xml:space="preserve">K</w:t>
      </w:r>
      <w:r>
        <w:t xml:space="preserve"> </w:t>
      </w:r>
      <w:r>
        <w:t xml:space="preserve">= 4 Frontier estimate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It cannot be interpreted as a reliable Frontier I→P effect; it instead reflects the near-impossibility of drawing meta-analytic conclusions when only four effects populate a regime cell. The actual Frontier I→P effect could be zero, positive, or negative —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w:t>
      </w:r>
      <w:r>
        <w:t xml:space="preserve"> </w:t>
      </w:r>
      <w:r>
        <w:rPr>
          <w:bCs/>
          <w:b/>
        </w:rPr>
        <w:t xml:space="preserve">marginally</w:t>
      </w:r>
      <w:r>
        <w:t xml:space="preserve"> </w:t>
      </w:r>
      <w:r>
        <w:t xml:space="preserve">supported — the ICRV between-regime omnibus test is significant at the 10% level (</w:t>
      </w:r>
      <w:r>
        <w:rPr>
          <w:iCs/>
          <w:i/>
        </w:rPr>
        <w:t xml:space="preserve">Q</w:t>
      </w:r>
      <w:r>
        <w:t xml:space="preserve">_M = 9.46,</w:t>
      </w:r>
      <w:r>
        <w:t xml:space="preserve"> </w:t>
      </w:r>
      <w:r>
        <w:rPr>
          <w:iCs/>
          <w:i/>
        </w:rPr>
        <w:t xml:space="preserve">p</w:t>
      </w:r>
      <w:r>
        <w:t xml:space="preserve"> </w:t>
      </w:r>
      <w:r>
        <w:t xml:space="preserve">= .051) but does not clear the conventional 5% threshold. The only non-trivial departure comes from the sparse, high-effect Frontier cell (</w:t>
      </w:r>
      <w:r>
        <w:rPr>
          <w:iCs/>
          <w:i/>
        </w:rPr>
        <w:t xml:space="preserve">r̄</w:t>
      </w:r>
      <w:r>
        <w:t xml:space="preserve"> </w:t>
      </w:r>
      <w:r>
        <w:t xml:space="preserve">= 0.249,</w:t>
      </w:r>
      <w:r>
        <w:t xml:space="preserve"> </w:t>
      </w:r>
      <w:r>
        <w:rPr>
          <w:iCs/>
          <w:i/>
        </w:rPr>
        <w:t xml:space="preserve">K</w:t>
      </w:r>
      <w:r>
        <w:t xml:space="preserve"> </w:t>
      </w:r>
      <w:r>
        <w:t xml:space="preserve">= 4); the three well-populated single-country regimes are flat (Advanced 0.079, Emerging 0.073, Upper-middle 0.065) and the cross-regime pooled studies sit at the low end (MX 0.064). The directional propositions E1a (Advanced largest) and E1b (Frontier smallest) are therefore</w:t>
      </w:r>
      <w:r>
        <w:t xml:space="preserve"> </w:t>
      </w:r>
      <w:r>
        <w:rPr>
          <w:bCs/>
          <w:b/>
        </w:rPr>
        <w:t xml:space="preserve">not</w:t>
      </w:r>
      <w:r>
        <w:t xml:space="preserve"> </w:t>
      </w:r>
      <w:r>
        <w:t xml:space="preserve">supported: the data show neither a monotone institutional gradient nor a Frontier floor. This bounds, rather than confirms, CIMT's institutional-gradient prediction and indicates that any genuine regime effect is too small to detect against the dominant within-study heterogeneity.</w:t>
      </w:r>
    </w:p>
    <w:bookmarkEnd w:id="64"/>
    <w:bookmarkStart w:id="65"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 date.</w:t>
      </w:r>
      <w:r>
        <w:t xml:space="preserve"> </w:t>
      </w:r>
      <w:r>
        <w:t xml:space="preserve">The three-level MARA with</w:t>
      </w:r>
      <w:r>
        <w:t xml:space="preserve"> </w:t>
      </w:r>
      <w:r>
        <w:rPr>
          <w:iCs/>
          <w:i/>
        </w:rPr>
        <w:t xml:space="preserve">k</w:t>
      </w:r>
      <w:r>
        <w:t xml:space="preserve"> </w:t>
      </w:r>
      <w:r>
        <w:t xml:space="preserve">= 278 studies (</w:t>
      </w:r>
      <w:r>
        <w:rPr>
          <w:iCs/>
          <w:i/>
        </w:rPr>
        <w:t xml:space="preserve">K</w:t>
      </w:r>
      <w:r>
        <w:t xml:space="preserve"> </w:t>
      </w:r>
      <w:r>
        <w:t xml:space="preserve">= 328 effects) is among the most comprehensive quantitative syntheses of I→P evidence to apply three-level modeling, extending the ICBEF 2025 Asia-Pacific baseline (</w:t>
      </w:r>
      <w:r>
        <w:rPr>
          <w:iCs/>
          <w:i/>
        </w:rPr>
        <w:t xml:space="preserve">k</w:t>
      </w:r>
      <w:r>
        <w:t xml:space="preserve"> </w:t>
      </w:r>
      <w:r>
        <w:t xml:space="preserve">= 113) by 165 studies with a globally inclusive ICRV-coded corpus. Three-level modeling correctly partitions within-study and between-study variance, and the baseline</w:t>
      </w:r>
      <w:r>
        <w:t xml:space="preserve"> </w:t>
      </w:r>
      <w:r>
        <w:rPr>
          <w:iCs/>
          <w:i/>
        </w:rPr>
        <w:t xml:space="preserve">r</w:t>
      </w:r>
      <w:r>
        <w:t xml:space="preserve"> </w:t>
      </w:r>
      <w:r>
        <w:t xml:space="preserve">= 0.076 replicates prior estimates while remaining robust across six sensitivity checks. A novel descriptive contribution follows from the decomposition: the unexplained heterogeneity is concentrated</w:t>
      </w:r>
      <w:r>
        <w:t xml:space="preserve"> </w:t>
      </w:r>
      <w:r>
        <w:rPr>
          <w:iCs/>
          <w:i/>
        </w:rPr>
        <w:t xml:space="preserve">within</w:t>
      </w:r>
      <w:r>
        <w:t xml:space="preserve"> </w:t>
      </w:r>
      <w:r>
        <w:t xml:space="preserve">studies (Level 2,</w:t>
      </w:r>
      <w:r>
        <w:t xml:space="preserve"> </w:t>
      </w:r>
      <w:r>
        <w:rPr>
          <w:iCs/>
          <w:i/>
        </w:rPr>
        <w:t xml:space="preserve">I</w:t>
      </w:r>
      <w:r>
        <w:t xml:space="preserve">² = 57.1%) rather than between them (Level 3,</w:t>
      </w:r>
      <w:r>
        <w:t xml:space="preserve"> </w:t>
      </w:r>
      <w:r>
        <w:rPr>
          <w:iCs/>
          <w:i/>
        </w:rPr>
        <w:t xml:space="preserve">I</w:t>
      </w:r>
      <w:r>
        <w:t xml:space="preserve">² = 8.8%), reframing where the I→P "context" problem actually resides.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Only ICRV reaches marginal significance (</w:t>
      </w:r>
      <w:r>
        <w:rPr>
          <w:iCs/>
          <w:i/>
        </w:rPr>
        <w:t xml:space="preserve">Q</w:t>
      </w:r>
      <w:r>
        <w:t xml:space="preserve">_M = 9.46,</w:t>
      </w:r>
      <w:r>
        <w:t xml:space="preserve"> </w:t>
      </w:r>
      <w:r>
        <w:rPr>
          <w:iCs/>
          <w:i/>
        </w:rPr>
        <w:t xml:space="preserve">p</w:t>
      </w:r>
      <w:r>
        <w:t xml:space="preserve"> </w:t>
      </w:r>
      <w:r>
        <w:t xml:space="preserve">= .051; significant at α = .10, not α = .05), and even then it is driven by a sparse Frontier cell rather than an institutional gradient, while cDAI and DPL are clearly null. These results set theoretically informative bounds: even with three well-populated single-country regimes (Advanced</w:t>
      </w:r>
      <w:r>
        <w:t xml:space="preserve"> </w:t>
      </w:r>
      <w:r>
        <w:rPr>
          <w:iCs/>
          <w:i/>
        </w:rPr>
        <w:t xml:space="preserve">K</w:t>
      </w:r>
      <w:r>
        <w:t xml:space="preserve"> </w:t>
      </w:r>
      <w:r>
        <w:t xml:space="preserve">= 157, Emerging</w:t>
      </w:r>
      <w:r>
        <w:t xml:space="preserve"> </w:t>
      </w:r>
      <w:r>
        <w:rPr>
          <w:iCs/>
          <w:i/>
        </w:rPr>
        <w:t xml:space="preserve">K</w:t>
      </w:r>
      <w:r>
        <w:t xml:space="preserve"> </w:t>
      </w:r>
      <w:r>
        <w:t xml:space="preserve">= 95, Upper-middle</w:t>
      </w:r>
      <w:r>
        <w:t xml:space="preserve"> </w:t>
      </w:r>
      <w:r>
        <w:rPr>
          <w:iCs/>
          <w:i/>
        </w:rPr>
        <w:t xml:space="preserve">K</w:t>
      </w:r>
      <w:r>
        <w:t xml:space="preserve"> </w:t>
      </w:r>
      <w:r>
        <w:t xml:space="preserve">= 32), the I→P effect is flat across the institutional ordering, and cDAI and DPL phase do not explain between-study heterogeneity. Because that heterogeneity is overwhelmingly within-study, country- and time-level moderators are structurally unlikely to resolve it — a key boundary condition for the contextual-contingency research program.</w:t>
      </w:r>
    </w:p>
    <w:p>
      <w:pPr>
        <w:pStyle w:val="BodyText"/>
      </w:pPr>
      <w:r>
        <w:rPr>
          <w:bCs/>
          <w:b/>
        </w:rPr>
        <w:t xml:space="preserve">Contribution 3: Publication bias is modest, not decisive.</w:t>
      </w:r>
      <w:r>
        <w:t xml:space="preserve"> </w:t>
      </w:r>
      <w:r>
        <w:t xml:space="preserve">The bias diagnostics diverge: Begg's rank test (τ = −0.119,</w:t>
      </w:r>
      <w:r>
        <w:t xml:space="preserve"> </w:t>
      </w:r>
      <w:r>
        <w:rPr>
          <w:iCs/>
          <w:i/>
        </w:rPr>
        <w:t xml:space="preserve">p</w:t>
      </w:r>
      <w:r>
        <w:t xml:space="preserve"> </w:t>
      </w:r>
      <w:r>
        <w:t xml:space="preserve">= .001) and trim-and-fill (</w:t>
      </w:r>
      <w:r>
        <w:rPr>
          <w:iCs/>
          <w:i/>
        </w:rPr>
        <w:t xml:space="preserve">k</w:t>
      </w:r>
      <w:r>
        <w:t xml:space="preserve">₀ = 58 imputed; adjusted</w:t>
      </w:r>
      <w:r>
        <w:t xml:space="preserve"> </w:t>
      </w:r>
      <w:r>
        <w:rPr>
          <w:iCs/>
          <w:i/>
        </w:rPr>
        <w:t xml:space="preserve">r̄</w:t>
      </w:r>
      <w:r>
        <w:t xml:space="preserve"> </w:t>
      </w:r>
      <w:r>
        <w:t xml:space="preserve">= 0.041) indicate left-side asymmetry, whereas Egger's precision-weighted regression is only marginal (</w:t>
      </w:r>
      <w:r>
        <w:rPr>
          <w:iCs/>
          <w:i/>
        </w:rPr>
        <w:t xml:space="preserve">p</w:t>
      </w:r>
      <w:r>
        <w:t xml:space="preserve"> </w:t>
      </w:r>
      <w:r>
        <w:t xml:space="preserve">= .059) and the fail-safe</w:t>
      </w:r>
      <w:r>
        <w:t xml:space="preserve"> </w:t>
      </w:r>
      <w:r>
        <w:rPr>
          <w:iCs/>
          <w:i/>
        </w:rPr>
        <w:t xml:space="preserve">N</w:t>
      </w:r>
      <w:r>
        <w:t xml:space="preserve"> </w:t>
      </w:r>
      <w:r>
        <w:t xml:space="preserve">(81,712) is very large. Read together, the evidence points to a</w:t>
      </w:r>
      <w:r>
        <w:t xml:space="preserve"> </w:t>
      </w:r>
      <w:r>
        <w:rPr>
          <w:iCs/>
          <w:i/>
        </w:rPr>
        <w:t xml:space="preserve">modest</w:t>
      </w:r>
      <w:r>
        <w:t xml:space="preserve"> </w:t>
      </w:r>
      <w:r>
        <w:t xml:space="preserve">upward inflation of the published average rather than a literature-wide artifact: the trim-and-fill–adjusted</w:t>
      </w:r>
      <w:r>
        <w:t xml:space="preserve"> </w:t>
      </w:r>
      <w:r>
        <w:rPr>
          <w:iCs/>
          <w:i/>
        </w:rPr>
        <w:t xml:space="preserve">r̄</w:t>
      </w:r>
      <w:r>
        <w:t xml:space="preserve"> </w:t>
      </w:r>
      <w:r>
        <w:t xml:space="preserve">≈ 0.041 is best treated as a conservative lower bound on a small but genuine positive effect, not as the point estimate. This tempered reading is itself a contribution, correcting the stronger "bias-dominated" narrative that a single significant test might otherwise license.</w:t>
      </w:r>
    </w:p>
    <w:bookmarkEnd w:id="65"/>
    <w:bookmarkStart w:id="66"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Even taking the raw pooled estimate (</w:t>
      </w:r>
      <w:r>
        <w:rPr>
          <w:iCs/>
          <w:i/>
        </w:rPr>
        <w:t xml:space="preserve">r</w:t>
      </w:r>
      <w:r>
        <w:t xml:space="preserve"> </w:t>
      </w:r>
      <w:r>
        <w:t xml:space="preserve">= 0.076) at face value, the average performance return to internationalization is small; the trim-and-fill lower bound (</w:t>
      </w:r>
      <w:r>
        <w:rPr>
          <w:iCs/>
          <w:i/>
        </w:rPr>
        <w:t xml:space="preserve">r</w:t>
      </w:r>
      <w:r>
        <w:t xml:space="preserve"> </w:t>
      </w:r>
      <w:r>
        <w:t xml:space="preserve">≈ 0.041) is more prudent for planning. Firms that expect large gains from export intensification alone are likely to be disappointed. Internationalization strategy should be driven by firm-specific competitive advantages and market-specific learning, not by the assumption that "internationalization improves performance" unconditionally.</w:t>
      </w:r>
    </w:p>
    <w:p>
      <w:pPr>
        <w:pStyle w:val="BodyText"/>
      </w:pPr>
      <w:r>
        <w:rPr>
          <w:bCs/>
          <w:b/>
        </w:rPr>
        <w:t xml:space="preserve">For researchers:</w:t>
      </w:r>
      <w:r>
        <w:t xml:space="preserve"> </w:t>
      </w:r>
      <w:r>
        <w:t xml:space="preserve">The mixed bias signal (significant Begg's τ and trim-and-fill imputation of</w:t>
      </w:r>
      <w:r>
        <w:t xml:space="preserve"> </w:t>
      </w:r>
      <w:r>
        <w:rPr>
          <w:iCs/>
          <w:i/>
        </w:rPr>
        <w:t xml:space="preserve">k</w:t>
      </w:r>
      <w:r>
        <w:t xml:space="preserve">₀ = 58 studies, but only marginal Egger) is a call for pre-registered studies with explicit null-hypothesis reporting. More consequential is the variance structure: with 57.1% of heterogeneity arising</w:t>
      </w:r>
      <w:r>
        <w:t xml:space="preserve"> </w:t>
      </w:r>
      <w:r>
        <w:rPr>
          <w:iCs/>
          <w:i/>
        </w:rPr>
        <w:t xml:space="preserve">within</w:t>
      </w:r>
      <w:r>
        <w:t xml:space="preserve"> </w:t>
      </w:r>
      <w:r>
        <w:t xml:space="preserve">studies, future syntheses should code and test within-study analytic moderators (DOI operationalization, performance metric, estimator) rather than adding further country-level contingencies. Pre-registration on OSF and three-level MARA with bias correction should be standard practice.</w:t>
      </w:r>
    </w:p>
    <w:p>
      <w:pPr>
        <w:pStyle w:val="BodyText"/>
      </w:pPr>
      <w:r>
        <w:rPr>
          <w:bCs/>
          <w:b/>
        </w:rPr>
        <w:t xml:space="preserve">For policymakers:</w:t>
      </w:r>
      <w:r>
        <w:t xml:space="preserve"> </w:t>
      </w:r>
      <w:r>
        <w:t xml:space="preserve">The flat ICRV gradient across well-populated regimes (Advanced</w:t>
      </w:r>
      <w:r>
        <w:t xml:space="preserve"> </w:t>
      </w:r>
      <w:r>
        <w:rPr>
          <w:iCs/>
          <w:i/>
        </w:rPr>
        <w:t xml:space="preserve">r̄</w:t>
      </w:r>
      <w:r>
        <w:t xml:space="preserve"> </w:t>
      </w:r>
      <w:r>
        <w:t xml:space="preserve">= 0.079, Emerging 0.073, Upper-middle 0.065; differences non-significant) does not justify treating institutional quality as the primary determinant of export-led productivity. Export-promotion programmes should target firm-level capabilities (technological, managerial) at least as much as institutional reform, given that the institution–performance gradient is not confirmed at current sample sizes.</w:t>
      </w:r>
    </w:p>
    <w:bookmarkEnd w:id="66"/>
    <w:bookmarkStart w:id="67"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 "forced-penalty" 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5-regime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67"/>
    <w:bookmarkEnd w:id="68"/>
    <w:bookmarkStart w:id="69" w:name="X6b297cc947e0db5526be369b1f0f4ddc67b2415"/>
    <w:p>
      <w:pPr>
        <w:pStyle w:val="Heading2"/>
      </w:pPr>
      <w:r>
        <w:t xml:space="preserve">6. Conclusion</w:t>
      </w:r>
    </w:p>
    <w:p>
      <w:pPr>
        <w:pStyle w:val="FirstParagraph"/>
      </w:pPr>
      <w:r>
        <w:t xml:space="preserve">This paper presents a three-level MARA of the internationalization–performance relationship drawing on a globally representative corpus, extending the ICBEF 2025 Asia-Pacific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278 studies (</w:t>
      </w:r>
      <w:r>
        <w:rPr>
          <w:iCs/>
          <w:i/>
        </w:rPr>
        <w:t xml:space="preserve">K</w:t>
      </w:r>
      <w:r>
        <w:t xml:space="preserve"> </w:t>
      </w:r>
      <w:r>
        <w:t xml:space="preserve">= 328 effects) and introducing three novel moderators for formal meta-analytic testing: ICRV institutional regime, country-level digital adoption (cDAI), and Digital Paradox Lifecycle (DPL) phase. The three-level pooled effect (</w:t>
      </w:r>
      <w:r>
        <w:rPr>
          <w:iCs/>
          <w:i/>
        </w:rPr>
        <w:t xml:space="preserve">r</w:t>
      </w:r>
      <w:r>
        <w:t xml:space="preserve"> </w:t>
      </w:r>
      <w:r>
        <w:t xml:space="preserve">= 0.076, 95% CI [0.062, 0.089],</w:t>
      </w:r>
      <w:r>
        <w:t xml:space="preserve"> </w:t>
      </w:r>
      <w:r>
        <w:rPr>
          <w:iCs/>
          <w:i/>
        </w:rPr>
        <w:t xml:space="preserve">I</w:t>
      </w:r>
      <w:r>
        <w:t xml:space="preserve">²_total = 65.9%) confirms a small but consistent positive I→P relationship globally, robust across six sensitivity checks.</w:t>
      </w:r>
    </w:p>
    <w:p>
      <w:pPr>
        <w:pStyle w:val="BodyText"/>
      </w:pPr>
      <w:r>
        <w:t xml:space="preserve">H1 (ICRV between-regime Q_M test) is</w:t>
      </w:r>
      <w:r>
        <w:t xml:space="preserve"> </w:t>
      </w:r>
      <w:r>
        <w:rPr>
          <w:bCs/>
          <w:b/>
        </w:rPr>
        <w:t xml:space="preserve">marginally</w:t>
      </w:r>
      <w:r>
        <w:t xml:space="preserve"> </w:t>
      </w:r>
      <w:r>
        <w:t xml:space="preserve">supported — the omnibus is significant at the 10% level (</w:t>
      </w:r>
      <w:r>
        <w:rPr>
          <w:iCs/>
          <w:i/>
        </w:rPr>
        <w:t xml:space="preserve">Q</w:t>
      </w:r>
      <w:r>
        <w:t xml:space="preserve">_M = 9.46,</w:t>
      </w:r>
      <w:r>
        <w:t xml:space="preserve"> </w:t>
      </w:r>
      <w:r>
        <w:rPr>
          <w:iCs/>
          <w:i/>
        </w:rPr>
        <w:t xml:space="preserve">p</w:t>
      </w:r>
      <w:r>
        <w:t xml:space="preserve"> </w:t>
      </w:r>
      <w:r>
        <w:t xml:space="preserve">= .051) but not at the conventional 5%; the departure it captures is generated by a sparse Frontier cell (</w:t>
      </w:r>
      <w:r>
        <w:rPr>
          <w:iCs/>
          <w:i/>
        </w:rPr>
        <w:t xml:space="preserve">K</w:t>
      </w:r>
      <w:r>
        <w:t xml:space="preserve"> </w:t>
      </w:r>
      <w:r>
        <w:t xml:space="preserve">= 4) rather than a monotone gradient. Across the three well-populated single-country regimes the effect is flat (Advanced 0.079, Emerging 0.073, Upper-middle 0.065), so the directional propositions E1a/E1b are not supported, and the cDAI (H3:</w:t>
      </w:r>
      <w:r>
        <w:t xml:space="preserve"> </w:t>
      </w:r>
      <w:r>
        <w:rPr>
          <w:iCs/>
          <w:i/>
        </w:rPr>
        <w:t xml:space="preserve">Q</w:t>
      </w:r>
      <w:r>
        <w:t xml:space="preserve">_M = 0.23,</w:t>
      </w:r>
      <w:r>
        <w:t xml:space="preserve"> </w:t>
      </w:r>
      <w:r>
        <w:rPr>
          <w:iCs/>
          <w:i/>
        </w:rPr>
        <w:t xml:space="preserve">p</w:t>
      </w:r>
      <w:r>
        <w:t xml:space="preserve"> </w:t>
      </w:r>
      <w:r>
        <w:t xml:space="preserve">= .893) and DPL phase (H2:</w:t>
      </w:r>
      <w:r>
        <w:t xml:space="preserve"> </w:t>
      </w:r>
      <w:r>
        <w:rPr>
          <w:iCs/>
          <w:i/>
        </w:rPr>
        <w:t xml:space="preserve">Q</w:t>
      </w:r>
      <w:r>
        <w:t xml:space="preserve">_M = 0.47,</w:t>
      </w:r>
      <w:r>
        <w:t xml:space="preserve"> </w:t>
      </w:r>
      <w:r>
        <w:rPr>
          <w:iCs/>
          <w:i/>
        </w:rPr>
        <w:t xml:space="preserve">p</w:t>
      </w:r>
      <w:r>
        <w:t xml:space="preserve"> </w:t>
      </w:r>
      <w:r>
        <w:t xml:space="preserve">= .789) moderators do not explain between-study heterogeneity. The CIMT institutional gradient (E1a/E1b), digital-infrastructure amplification (H3), and DPL temporal moderation (H2) remain theoretically motivated but empirically unconfirmed — null results that should inform future pre-registered replications.</w:t>
      </w:r>
    </w:p>
    <w:p>
      <w:pPr>
        <w:pStyle w:val="BodyText"/>
      </w:pPr>
      <w:r>
        <w:t xml:space="preserve">A second substantive finding concerns the structure and inflation of the effect. Publication-bias diagnostics are mixed — Begg's test (τ = −0.119,</w:t>
      </w:r>
      <w:r>
        <w:t xml:space="preserve"> </w:t>
      </w:r>
      <w:r>
        <w:rPr>
          <w:iCs/>
          <w:i/>
        </w:rPr>
        <w:t xml:space="preserve">p</w:t>
      </w:r>
      <w:r>
        <w:t xml:space="preserve"> </w:t>
      </w:r>
      <w:r>
        <w:t xml:space="preserve">= .001) and trim-and-fill (</w:t>
      </w:r>
      <w:r>
        <w:rPr>
          <w:iCs/>
          <w:i/>
        </w:rPr>
        <w:t xml:space="preserve">k</w:t>
      </w:r>
      <w:r>
        <w:t xml:space="preserve">₀ = 58 imputed; adjusted</w:t>
      </w:r>
      <w:r>
        <w:t xml:space="preserve"> </w:t>
      </w:r>
      <w:r>
        <w:rPr>
          <w:iCs/>
          <w:i/>
        </w:rPr>
        <w:t xml:space="preserve">r̄</w:t>
      </w:r>
      <w:r>
        <w:t xml:space="preserve"> </w:t>
      </w:r>
      <w:r>
        <w:t xml:space="preserve">= 0.041, 95% CI [0.030, 0.052]) indicate modest left-side asymmetry, while Egger's regression is only marginal (</w:t>
      </w:r>
      <w:r>
        <w:rPr>
          <w:iCs/>
          <w:i/>
        </w:rPr>
        <w:t xml:space="preserve">p</w:t>
      </w:r>
      <w:r>
        <w:t xml:space="preserve"> </w:t>
      </w:r>
      <w:r>
        <w:t xml:space="preserve">= .059) — so the trim-and-fill estimate (</w:t>
      </w:r>
      <w:r>
        <w:rPr>
          <w:iCs/>
          <w:i/>
        </w:rPr>
        <w:t xml:space="preserve">r̄</w:t>
      </w:r>
      <w:r>
        <w:t xml:space="preserve"> </w:t>
      </w:r>
      <w:r>
        <w:t xml:space="preserve">≈ 0.041) is best read as a conservative lower bound rather than evidence of a bias-dominated literature. Critically, the heterogeneity puzzle (</w:t>
      </w:r>
      <w:r>
        <w:rPr>
          <w:iCs/>
          <w:i/>
        </w:rPr>
        <w:t xml:space="preserve">I</w:t>
      </w:r>
      <w:r>
        <w:t xml:space="preserve">² = 65.9%) is concentrated</w:t>
      </w:r>
      <w:r>
        <w:t xml:space="preserve"> </w:t>
      </w:r>
      <w:r>
        <w:rPr>
          <w:iCs/>
          <w:i/>
        </w:rPr>
        <w:t xml:space="preserve">within</w:t>
      </w:r>
      <w:r>
        <w:t xml:space="preserve"> </w:t>
      </w:r>
      <w:r>
        <w:t xml:space="preserve">studies (Level 2, 57.1%) far more than between them (Level 3, 8.8%): unexplained variance in I→P arises chiefly from analytic choices inside primary studies rather than from cross-country institutional differences — which is precisely why study-level country and time moderators leave it unresolved.</w:t>
      </w:r>
    </w:p>
    <w:p>
      <w:pPr>
        <w:pStyle w:val="BodyText"/>
      </w:pPr>
      <w:r>
        <w:rPr>
          <w:bCs/>
          <w:b/>
        </w:rPr>
        <w:t xml:space="preserve">Limitations.</w:t>
      </w:r>
      <w:r>
        <w:t xml:space="preserve"> </w:t>
      </w:r>
      <w:r>
        <w:t xml:space="preserve">Five inferential constraints bound these conclusions. First, the moderator hypotheses are not confirmed; for cDAI and DPL this reflects genuine null between-group differences, while for ICRV the only non-flat cell (Frontier) is too sparse (</w:t>
      </w:r>
      <w:r>
        <w:rPr>
          <w:iCs/>
          <w:i/>
        </w:rPr>
        <w:t xml:space="preserve">K</w:t>
      </w:r>
      <w:r>
        <w:t xml:space="preserve"> </w:t>
      </w:r>
      <w:r>
        <w:t xml:space="preserve">= 4) for reliable inference. A formal search targeting Frontier and SIDS contexts is required before the ICRV result can be interpreted as definitive. Second, the Frontier-group anomaly (</w:t>
      </w:r>
      <w:r>
        <w:rPr>
          <w:iCs/>
          <w:i/>
        </w:rPr>
        <w:t xml:space="preserve">K</w:t>
      </w:r>
      <w:r>
        <w:t xml:space="preserve"> </w:t>
      </w:r>
      <w:r>
        <w:t xml:space="preserve">= 4,</w:t>
      </w:r>
      <w:r>
        <w:t xml:space="preserve"> </w:t>
      </w:r>
      <w:r>
        <w:rPr>
          <w:iCs/>
          <w:i/>
        </w:rPr>
        <w:t xml:space="preserve">r̄</w:t>
      </w:r>
      <w:r>
        <w:t xml:space="preserve"> </w:t>
      </w:r>
      <w:r>
        <w:t xml:space="preserve">= 0.249, including one outlier Pouresmaeili et al. 2018) yields an unreliable estimate; future work should search for additional Frontier-regime studies. Third, cDAI is measured at the study level using country-year World Bank Digital Adoption Index scores (primary) or ITU Digital Development Index (secondary), not direct replication of the WBES firm-level indicators used in the companion primary studies; any systematic error in the country-year DAI assignment — for instance, from vintage mismatch between the study's data period and the DAI score's reference year — may attenuate the moderation coefficient. Fourth, the systematic search was restricted to English-language publications; non-English studies (Chinese, Japanese, Korean, Southeast Asian) are underrepresented, potentially biasing regime distribution toward Advanced economies. Fifth, inter-coder reliability was assessed on a 20% double-coded subsample (</w:t>
      </w:r>
      <w:r>
        <w:rPr>
          <w:iCs/>
          <w:i/>
        </w:rPr>
        <w:t xml:space="preserve">k</w:t>
      </w:r>
      <w:r>
        <w:t xml:space="preserve"> </w:t>
      </w:r>
      <w:r>
        <w:t xml:space="preserve">= 47 studies); single-coder extraction for the remaining 80% cannot be validated without full dual-coding.</w:t>
      </w:r>
    </w:p>
    <w:p>
      <w:pPr>
        <w:pStyle w:val="BodyText"/>
      </w:pPr>
      <w:r>
        <w:rPr>
          <w:bCs/>
          <w:b/>
        </w:rPr>
        <w:t xml:space="preserve">Future research.</w:t>
      </w:r>
      <w:r>
        <w:t xml:space="preserve"> </w:t>
      </w:r>
      <w:r>
        <w:t xml:space="preserve">Three directions follow directly from the findings. First, a formal search targeting Frontier and SIDS economy I→P studies (targeted search strings, Appendix B) would expand the Frontier cell from</w:t>
      </w:r>
      <w:r>
        <w:t xml:space="preserve"> </w:t>
      </w:r>
      <w:r>
        <w:rPr>
          <w:iCs/>
          <w:i/>
        </w:rPr>
        <w:t xml:space="preserve">K</w:t>
      </w:r>
      <w:r>
        <w:t xml:space="preserve"> </w:t>
      </w:r>
      <w:r>
        <w:t xml:space="preserve">= 4 to potentially 20–40 effects, enabling a meaningful test of the only regime that currently deviates. Second — and most important given the variance decomposition — future syntheses should code and test</w:t>
      </w:r>
      <w:r>
        <w:t xml:space="preserve"> </w:t>
      </w:r>
      <w:r>
        <w:rPr>
          <w:bCs/>
          <w:b/>
        </w:rPr>
        <w:t xml:space="preserve">within-study</w:t>
      </w:r>
      <w:r>
        <w:t xml:space="preserve"> </w:t>
      </w:r>
      <w:r>
        <w:t xml:space="preserve">analytic moderators (DOI operationalization, performance metric, estimator family, sample window), since 57.1% of heterogeneity is within-study and country-level moderators are structurally unable to resolve it. Third, the mixed publication-bias signal (</w:t>
      </w:r>
      <w:r>
        <w:rPr>
          <w:iCs/>
          <w:i/>
        </w:rPr>
        <w:t xml:space="preserve">k</w:t>
      </w:r>
      <w:r>
        <w:t xml:space="preserve">₀ = 58 imputed, adj.</w:t>
      </w:r>
      <w:r>
        <w:t xml:space="preserve"> </w:t>
      </w:r>
      <w:r>
        <w:rPr>
          <w:iCs/>
          <w:i/>
        </w:rPr>
        <w:t xml:space="preserve">r̄</w:t>
      </w:r>
      <w:r>
        <w:t xml:space="preserve"> </w:t>
      </w:r>
      <w:r>
        <w:t xml:space="preserve">= 0.041; Begg significant but Egger marginal) motivates a dedicated bias audit — surveying I→P researchers about unpublished null results and meta-analysing grey literature and dissertations — to bound the population effect more precisely than trim-and-fill alone.</w:t>
      </w:r>
    </w:p>
    <w:p>
      <w:r>
        <w:pict>
          <v:rect style="width:0;height:1.5pt" o:hralign="center" o:hrstd="t" o:hr="t"/>
        </w:pict>
      </w:r>
    </w:p>
    <w:bookmarkEnd w:id="69"/>
    <w:bookmarkStart w:id="70"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70"/>
    <w:bookmarkStart w:id="71" w:name="competing-interests"/>
    <w:p>
      <w:pPr>
        <w:pStyle w:val="Heading2"/>
      </w:pPr>
      <w:r>
        <w:t xml:space="preserve">Competing Interests</w:t>
      </w:r>
    </w:p>
    <w:p>
      <w:pPr>
        <w:pStyle w:val="FirstParagraph"/>
      </w:pPr>
      <w:r>
        <w:t xml:space="preserve">The authors declare no conflict of interest.</w:t>
      </w:r>
    </w:p>
    <w:bookmarkEnd w:id="71"/>
    <w:bookmarkStart w:id="72"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2"/>
    <w:bookmarkStart w:id="76"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73">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74">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75">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76"/>
    <w:bookmarkStart w:id="77" w:name="appendix-a--prisma-2020-flow-diagram"/>
    <w:p>
      <w:pPr>
        <w:pStyle w:val="Heading2"/>
      </w:pPr>
      <w:r>
        <w:t xml:space="preserve">Appendix A — PRISMA 2020 Flow Diagram</w:t>
      </w:r>
    </w:p>
    <w:p>
      <w:pPr>
        <w:pStyle w:val="BlockText"/>
      </w:pPr>
      <w:r>
        <w:rPr>
          <w:bCs/>
          <w:b/>
        </w:rPr>
        <w:t xml:space="preserve">WoS + Scopus arms confirmed (20 May 2026). Final k/K pending full-text screening and extraction.</w:t>
      </w:r>
      <w:r>
        <w:br/>
      </w:r>
      <w:r>
        <w:t xml:space="preserve">Follows PRISMA 2020 (Page et al., 2021). Numbers marked ✓ are confirmed; [TBD] remain pending extraction.</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(full search, 20 May 2026):</w:t>
      </w:r>
      <w:r>
        <w:br/>
      </w:r>
      <w:r>
        <w:rPr>
          <w:rStyle w:val="VerbatimChar"/>
        </w:rPr>
        <w:t xml:space="preserve">  Web of Science Core Collection (SSCI+SCI-E+ESCI): n = 2,180 ✓</w:t>
      </w:r>
      <w:r>
        <w:br/>
      </w:r>
      <w:r>
        <w:rPr>
          <w:rStyle w:val="VerbatimChar"/>
        </w:rPr>
        <w:t xml:space="preserve">  Scopus (All Subject Areas, 1977–2026):             n = 1,083 ✓</w:t>
      </w:r>
      <w:r>
        <w:br/>
      </w:r>
      <w:r>
        <w:rPr>
          <w:rStyle w:val="VerbatimChar"/>
        </w:rPr>
        <w:t xml:space="preserve">  ─────────────────────────────────────────────────────</w:t>
      </w:r>
      <w:r>
        <w:br/>
      </w:r>
      <w:r>
        <w:rPr>
          <w:rStyle w:val="VerbatimChar"/>
        </w:rPr>
        <w:t xml:space="preserve">  Total from databases:                              n = 3,263 ✓</w:t>
      </w:r>
      <w:r>
        <w:br/>
      </w:r>
      <w:r>
        <w:br/>
      </w:r>
      <w:r>
        <w:rPr>
          <w:rStyle w:val="VerbatimChar"/>
        </w:rPr>
        <w:t xml:space="preserve">After cross-database deduplication (DOI-exact + title-fuzzy ≥85%):</w:t>
      </w:r>
      <w:r>
        <w:br/>
      </w:r>
      <w:r>
        <w:rPr>
          <w:rStyle w:val="VerbatimChar"/>
        </w:rPr>
        <w:t xml:space="preserve">  Duplicate records removed:                         n =   795  ✓</w:t>
      </w:r>
      <w:r>
        <w:br/>
      </w:r>
      <w:r>
        <w:rPr>
          <w:rStyle w:val="VerbatimChar"/>
        </w:rPr>
        <w:t xml:space="preserve">  Unique records:                                    n = 2,468  ✓</w:t>
      </w:r>
      <w:r>
        <w:br/>
      </w:r>
      <w:r>
        <w:rPr>
          <w:rStyle w:val="VerbatimChar"/>
        </w:rPr>
        <w:t xml:space="preserve">  Already in existing tracker (prior database):      n =   435  ✓</w:t>
      </w:r>
      <w:r>
        <w:br/>
      </w:r>
      <w:r>
        <w:rPr>
          <w:rStyle w:val="VerbatimChar"/>
        </w:rPr>
        <w:t xml:space="preserve">  New candidates for L2 screening:                   n = 2,032  ✓</w:t>
      </w:r>
      <w:r>
        <w:br/>
      </w:r>
      <w:r>
        <w:rPr>
          <w:rStyle w:val="VerbatimChar"/>
        </w:rPr>
        <w:t xml:space="preserve">    — with DOI (CrossRef enriched, 20 May 2026):     n = 1,512 (74.4%) ✓</w:t>
      </w:r>
      <w:r>
        <w:br/>
      </w:r>
      <w:r>
        <w:rPr>
          <w:rStyle w:val="VerbatimChar"/>
        </w:rPr>
        <w:t xml:space="preserve">    — no DOI (manual retrieval required):            n =   520 (25.6%) ✓</w:t>
      </w:r>
      <w:r>
        <w:br/>
      </w:r>
      <w:r>
        <w:br/>
      </w:r>
      <w:r>
        <w:rPr>
          <w:rStyle w:val="VerbatimChar"/>
        </w:rPr>
        <w:t xml:space="preserve">Records from supplementary methods:</w:t>
      </w:r>
      <w:r>
        <w:br/>
      </w:r>
      <w:r>
        <w:rPr>
          <w:rStyle w:val="VerbatimChar"/>
        </w:rPr>
        <w:t xml:space="preserve">  Backward citation scan (5 anchor meta-analyses):  n ≈ 478 screened</w:t>
      </w:r>
      <w:r>
        <w:br/>
      </w:r>
      <w:r>
        <w:rPr>
          <w:rStyle w:val="VerbatimChar"/>
        </w:rPr>
        <w:t xml:space="preserve">  Hand-search (author corpus, 2024–2026):           n = 19</w:t>
      </w:r>
      <w:r>
        <w:br/>
      </w:r>
      <w:r>
        <w:rPr>
          <w:rStyle w:val="VerbatimChar"/>
        </w:rPr>
        <w:t xml:space="preserve">  ─────────────────────────────────────────────────────</w:t>
      </w:r>
      <w:r>
        <w:br/>
      </w:r>
      <w:r>
        <w:rPr>
          <w:rStyle w:val="VerbatimChar"/>
        </w:rPr>
        <w:t xml:space="preserve">  Total records identified:                         N = 3,263 (databases) + ≈497 (supplementary) ✓</w:t>
      </w:r>
      <w:r>
        <w:br/>
      </w:r>
      <w:r>
        <w:br/>
      </w:r>
      <w:r>
        <w:rPr>
          <w:rStyle w:val="VerbatimChar"/>
        </w:rPr>
        <w:t xml:space="preserve">SCREENING — Level 1 (Title / Keyword Pre-screen)</w:t>
      </w:r>
      <w:r>
        <w:br/>
      </w:r>
      <w:r>
        <w:rPr>
          <w:rStyle w:val="VerbatimChar"/>
        </w:rPr>
        <w:t xml:space="preserve">─────────────────────────────────────────────────────────────────</w:t>
      </w:r>
      <w:r>
        <w:br/>
      </w:r>
      <w:r>
        <w:rPr>
          <w:rStyle w:val="VerbatimChar"/>
        </w:rPr>
        <w:t xml:space="preserve">After within-WoS deduplication:                      n = 2,179  (1 duplicate removed)</w:t>
      </w:r>
      <w:r>
        <w:br/>
      </w:r>
      <w:r>
        <w:rPr>
          <w:rStyle w:val="VerbatimChar"/>
        </w:rPr>
        <w:t xml:space="preserve">  Excluded at L1 (title clearly outside I→P domain): n = 1,397</w:t>
      </w:r>
      <w:r>
        <w:br/>
      </w:r>
      <w:r>
        <w:rPr>
          <w:rStyle w:val="VerbatimChar"/>
        </w:rPr>
        <w:t xml:space="preserve">    - No internationalization × performance signal  : n ≈ 1,200</w:t>
      </w:r>
      <w:r>
        <w:br/>
      </w:r>
      <w:r>
        <w:rPr>
          <w:rStyle w:val="VerbatimChar"/>
        </w:rPr>
        <w:t xml:space="preserve">    - Systematic reviews / meta-analyses            : n ≈   97</w:t>
      </w:r>
      <w:r>
        <w:br/>
      </w:r>
      <w:r>
        <w:rPr>
          <w:rStyle w:val="VerbatimChar"/>
        </w:rPr>
        <w:t xml:space="preserve">    - Qualitative / conceptual / medical            : n ≈  100</w:t>
      </w:r>
      <w:r>
        <w:br/>
      </w:r>
      <w:r>
        <w:rPr>
          <w:rStyle w:val="VerbatimChar"/>
        </w:rPr>
        <w:t xml:space="preserve">  Retained for Level-2 title screen:                 n =   782  ✓</w:t>
      </w:r>
      <w:r>
        <w:br/>
      </w:r>
      <w:r>
        <w:br/>
      </w:r>
      <w:r>
        <w:rPr>
          <w:rStyle w:val="VerbatimChar"/>
        </w:rPr>
        <w:t xml:space="preserve">SCREENING — Level 2 (Title Screen + UNSURE Resolution)</w:t>
      </w:r>
      <w:r>
        <w:br/>
      </w:r>
      <w:r>
        <w:rPr>
          <w:rStyle w:val="VerbatimChar"/>
        </w:rPr>
        <w:t xml:space="preserve">─────────────────────────────────────────────────────────────────</w:t>
      </w:r>
      <w:r>
        <w:br/>
      </w:r>
      <w:r>
        <w:rPr>
          <w:rStyle w:val="VerbatimChar"/>
        </w:rPr>
        <w:t xml:space="preserve">Records screened at L2 (title):                      n =   782</w:t>
      </w:r>
      <w:r>
        <w:br/>
      </w:r>
      <w:r>
        <w:rPr>
          <w:rStyle w:val="VerbatimChar"/>
        </w:rPr>
        <w:t xml:space="preserve">  Initial decisions (18 May 2026):</w:t>
      </w:r>
      <w:r>
        <w:br/>
      </w:r>
      <w:r>
        <w:rPr>
          <w:rStyle w:val="VerbatimChar"/>
        </w:rPr>
        <w:t xml:space="preserve">    Y (clearly eligible):                            n =   345</w:t>
      </w:r>
      <w:r>
        <w:br/>
      </w:r>
      <w:r>
        <w:rPr>
          <w:rStyle w:val="VerbatimChar"/>
        </w:rPr>
        <w:t xml:space="preserve">    N (clearly excluded):                            n =    35</w:t>
      </w:r>
      <w:r>
        <w:br/>
      </w:r>
      <w:r>
        <w:rPr>
          <w:rStyle w:val="VerbatimChar"/>
        </w:rPr>
        <w:t xml:space="preserve">      E1: Conceptual / editorial                     n =     4</w:t>
      </w:r>
      <w:r>
        <w:br/>
      </w:r>
      <w:r>
        <w:rPr>
          <w:rStyle w:val="VerbatimChar"/>
        </w:rPr>
        <w:t xml:space="preserve">      E2: Qualitative / case study                   n =     8</w:t>
      </w:r>
      <w:r>
        <w:br/>
      </w:r>
      <w:r>
        <w:rPr>
          <w:rStyle w:val="VerbatimChar"/>
        </w:rPr>
        <w:t xml:space="preserve">      E3: Macro-level / country-level analysis       n =     6</w:t>
      </w:r>
      <w:r>
        <w:br/>
      </w:r>
      <w:r>
        <w:rPr>
          <w:rStyle w:val="VerbatimChar"/>
        </w:rPr>
        <w:t xml:space="preserve">      E5: Export as DV (not IV→performance)          n =    17</w:t>
      </w:r>
      <w:r>
        <w:br/>
      </w:r>
      <w:r>
        <w:rPr>
          <w:rStyle w:val="VerbatimChar"/>
        </w:rPr>
        <w:t xml:space="preserve">    UNSURE (title insufficient):                     n =   402</w:t>
      </w:r>
      <w:r>
        <w:br/>
      </w:r>
      <w:r>
        <w:br/>
      </w:r>
      <w:r>
        <w:rPr>
          <w:rStyle w:val="VerbatimChar"/>
        </w:rPr>
        <w:t xml:space="preserve">  UNSURE title-only re-screen — Round 1 (script 14):</w:t>
      </w:r>
      <w:r>
        <w:br/>
      </w:r>
      <w:r>
        <w:rPr>
          <w:rStyle w:val="VerbatimChar"/>
        </w:rPr>
        <w:t xml:space="preserve">    Resolved Y:                                      n =   135</w:t>
      </w:r>
      <w:r>
        <w:br/>
      </w:r>
      <w:r>
        <w:rPr>
          <w:rStyle w:val="VerbatimChar"/>
        </w:rPr>
        <w:t xml:space="preserve">      Genuinely new (not in existing k=287):         n =   129  ✓</w:t>
      </w:r>
      <w:r>
        <w:br/>
      </w:r>
      <w:r>
        <w:rPr>
          <w:rStyle w:val="VerbatimChar"/>
        </w:rPr>
        <w:t xml:space="preserve">      Duplicates of existing database:               n =     6  → excluded</w:t>
      </w:r>
      <w:r>
        <w:br/>
      </w:r>
      <w:r>
        <w:rPr>
          <w:rStyle w:val="VerbatimChar"/>
        </w:rPr>
        <w:t xml:space="preserve">    Resolved N:                                      n =     3</w:t>
      </w:r>
      <w:r>
        <w:br/>
      </w:r>
      <w:r>
        <w:rPr>
          <w:rStyle w:val="VerbatimChar"/>
        </w:rPr>
        <w:t xml:space="preserve">    Still UNSURE after R1:                           n =   263</w:t>
      </w:r>
      <w:r>
        <w:br/>
      </w:r>
      <w:r>
        <w:br/>
      </w:r>
      <w:r>
        <w:rPr>
          <w:rStyle w:val="VerbatimChar"/>
        </w:rPr>
        <w:t xml:space="preserve">  UNSURE title-only re-screen — Round 2 (script 18, two-tier rules):</w:t>
      </w:r>
      <w:r>
        <w:br/>
      </w:r>
      <w:r>
        <w:rPr>
          <w:rStyle w:val="VerbatimChar"/>
        </w:rPr>
        <w:t xml:space="preserve">    Resolved Y (all genuinely new):                  n =    30  ✓</w:t>
      </w:r>
      <w:r>
        <w:br/>
      </w:r>
      <w:r>
        <w:rPr>
          <w:rStyle w:val="VerbatimChar"/>
        </w:rPr>
        <w:t xml:space="preserve">    Resolved N:                                      n =    29</w:t>
      </w:r>
      <w:r>
        <w:br/>
      </w:r>
      <w:r>
        <w:rPr>
          <w:rStyle w:val="VerbatimChar"/>
        </w:rPr>
        <w:t xml:space="preserve">    Still UNSURE after R2:                           n =   204</w:t>
      </w:r>
      <w:r>
        <w:br/>
      </w:r>
      <w:r>
        <w:br/>
      </w:r>
      <w:r>
        <w:rPr>
          <w:rStyle w:val="VerbatimChar"/>
        </w:rPr>
        <w:t xml:space="preserve">  UNSURE title-only re-screen — Round 3 (script 20, extended patterns):</w:t>
      </w:r>
      <w:r>
        <w:br/>
      </w:r>
      <w:r>
        <w:rPr>
          <w:rStyle w:val="VerbatimChar"/>
        </w:rPr>
        <w:t xml:space="preserve">    Resolved Y (all genuinely new):                  n =    25  ✓</w:t>
      </w:r>
      <w:r>
        <w:br/>
      </w:r>
      <w:r>
        <w:rPr>
          <w:rStyle w:val="VerbatimChar"/>
        </w:rPr>
        <w:t xml:space="preserve">    Resolved N:                                      n =    43</w:t>
      </w:r>
      <w:r>
        <w:br/>
      </w:r>
      <w:r>
        <w:rPr>
          <w:rStyle w:val="VerbatimChar"/>
        </w:rPr>
        <w:t xml:space="preserve">    Still UNSURE after R3:                           n =   136</w:t>
      </w:r>
      <w:r>
        <w:br/>
      </w:r>
      <w:r>
        <w:br/>
      </w:r>
      <w:r>
        <w:rPr>
          <w:rStyle w:val="VerbatimChar"/>
        </w:rPr>
        <w:t xml:space="preserve">  UNSURE title-only re-screen — Round 4 (script 22, capital structure / location</w:t>
      </w:r>
      <w:r>
        <w:br/>
      </w:r>
      <w:r>
        <w:rPr>
          <w:rStyle w:val="VerbatimChar"/>
        </w:rPr>
        <w:t xml:space="preserve">      strategy / antecedent/determinant exclusions; performance consequences /</w:t>
      </w:r>
      <w:r>
        <w:br/>
      </w:r>
      <w:r>
        <w:rPr>
          <w:rStyle w:val="VerbatimChar"/>
        </w:rPr>
        <w:t xml:space="preserve">      optimal multinationality / crisis resilience inclusions):</w:t>
      </w:r>
      <w:r>
        <w:br/>
      </w:r>
      <w:r>
        <w:rPr>
          <w:rStyle w:val="VerbatimChar"/>
        </w:rPr>
        <w:t xml:space="preserve">    Resolved Y (all genuinely new):                  n =    15  ✓</w:t>
      </w:r>
      <w:r>
        <w:br/>
      </w:r>
      <w:r>
        <w:rPr>
          <w:rStyle w:val="VerbatimChar"/>
        </w:rPr>
        <w:t xml:space="preserve">    Resolved N:                                      n =    34</w:t>
      </w:r>
      <w:r>
        <w:br/>
      </w:r>
      <w:r>
        <w:rPr>
          <w:rStyle w:val="VerbatimChar"/>
        </w:rPr>
        <w:t xml:space="preserve">    Still UNSURE:                                    n =    87</w:t>
      </w:r>
      <w:r>
        <w:br/>
      </w:r>
      <w:r>
        <w:br/>
      </w:r>
      <w:r>
        <w:rPr>
          <w:rStyle w:val="VerbatimChar"/>
        </w:rPr>
        <w:t xml:space="preserve">  UNSURE title-only re-screen — Round 5 (first-author manual pass, 19/05/2026):</w:t>
      </w:r>
      <w:r>
        <w:br/>
      </w:r>
      <w:r>
        <w:rPr>
          <w:rStyle w:val="VerbatimChar"/>
        </w:rPr>
        <w:t xml:space="preserve">    Resolved Y (all genuinely new):                  n =     4  ✓</w:t>
      </w:r>
      <w:r>
        <w:br/>
      </w:r>
      <w:r>
        <w:rPr>
          <w:rStyle w:val="VerbatimChar"/>
        </w:rPr>
        <w:t xml:space="preserve">    Resolved N:                                      n =    11</w:t>
      </w:r>
      <w:r>
        <w:br/>
      </w:r>
      <w:r>
        <w:rPr>
          <w:rStyle w:val="VerbatimChar"/>
        </w:rPr>
        <w:t xml:space="preserve">    Still UNSURE:                                    n =    72</w:t>
      </w:r>
      <w:r>
        <w:br/>
      </w:r>
      <w:r>
        <w:br/>
      </w:r>
      <w:r>
        <w:rPr>
          <w:rStyle w:val="VerbatimChar"/>
        </w:rPr>
        <w:t xml:space="preserve">  UNSURE title-only re-screen — Round 6 (first-author manual pass, 19/05/2026):</w:t>
      </w:r>
      <w:r>
        <w:br/>
      </w:r>
      <w:r>
        <w:rPr>
          <w:rStyle w:val="VerbatimChar"/>
        </w:rPr>
        <w:t xml:space="preserve">    Resolved Y (all genuinely new):                  n =     8  ✓</w:t>
      </w:r>
      <w:r>
        <w:br/>
      </w:r>
      <w:r>
        <w:rPr>
          <w:rStyle w:val="VerbatimChar"/>
        </w:rPr>
        <w:t xml:space="preserve">    Resolved N:                                      n =    46</w:t>
      </w:r>
      <w:r>
        <w:br/>
      </w:r>
      <w:r>
        <w:rPr>
          <w:rStyle w:val="VerbatimChar"/>
        </w:rPr>
        <w:t xml:space="preserve">    Still UNSURE:                                    n =    18</w:t>
      </w:r>
      <w:r>
        <w:br/>
      </w:r>
      <w:r>
        <w:br/>
      </w:r>
      <w:r>
        <w:rPr>
          <w:rStyle w:val="VerbatimChar"/>
        </w:rPr>
        <w:t xml:space="preserve">  UNSURE title-only re-screen — Round 7 (manual signals: book-chapter DOI,</w:t>
      </w:r>
      <w:r>
        <w:br/>
      </w:r>
      <w:r>
        <w:rPr>
          <w:rStyle w:val="VerbatimChar"/>
        </w:rPr>
        <w:t xml:space="preserve">      single-case, antecedent-DV, non-business journal, macro unit):</w:t>
      </w:r>
      <w:r>
        <w:br/>
      </w:r>
      <w:r>
        <w:rPr>
          <w:rStyle w:val="VerbatimChar"/>
        </w:rPr>
        <w:t xml:space="preserve">    Resolved Y:                                      n =     0</w:t>
      </w:r>
      <w:r>
        <w:br/>
      </w:r>
      <w:r>
        <w:rPr>
          <w:rStyle w:val="VerbatimChar"/>
        </w:rPr>
        <w:t xml:space="preserve">    Resolved N:                                      n =     8</w:t>
      </w:r>
      <w:r>
        <w:br/>
      </w:r>
      <w:r>
        <w:rPr>
          <w:rStyle w:val="VerbatimChar"/>
        </w:rPr>
        <w:t xml:space="preserve">    Still UNSURE:                                    n =    10</w:t>
      </w:r>
      <w:r>
        <w:br/>
      </w:r>
      <w:r>
        <w:br/>
      </w:r>
      <w:r>
        <w:rPr>
          <w:rStyle w:val="VerbatimChar"/>
        </w:rPr>
        <w:t xml:space="preserve">  UNSURE WebSearch abstract pass — Round 8 (19/05/2026, I→P eligibility</w:t>
      </w:r>
      <w:r>
        <w:br/>
      </w:r>
      <w:r>
        <w:rPr>
          <w:rStyle w:val="VerbatimChar"/>
        </w:rPr>
        <w:t xml:space="preserve">      criteria applied via web-sourced abstracts for all 10 remaining):</w:t>
      </w:r>
      <w:r>
        <w:br/>
      </w:r>
      <w:r>
        <w:rPr>
          <w:rStyle w:val="VerbatimChar"/>
        </w:rPr>
        <w:t xml:space="preserve">    Resolved Y (S0129, S0240, S0683):                n =     3</w:t>
      </w:r>
      <w:r>
        <w:br/>
      </w:r>
      <w:r>
        <w:rPr>
          <w:rStyle w:val="VerbatimChar"/>
        </w:rPr>
        <w:t xml:space="preserve">    Resolved N (wrong I measure/DV/focal unit):      n =     7</w:t>
      </w:r>
      <w:r>
        <w:br/>
      </w:r>
      <w:r>
        <w:rPr>
          <w:rStyle w:val="VerbatimChar"/>
        </w:rPr>
        <w:t xml:space="preserve">    Still UNSURE:                                    n =     0  ← ALL RESOLVED ✓</w:t>
      </w:r>
      <w:r>
        <w:br/>
      </w:r>
      <w:r>
        <w:br/>
      </w:r>
      <w:r>
        <w:rPr>
          <w:rStyle w:val="VerbatimChar"/>
        </w:rPr>
        <w:t xml:space="preserve">  Total L2 Y (WoS arm):                             n =   565  ✓</w:t>
      </w:r>
      <w:r>
        <w:br/>
      </w:r>
      <w:r>
        <w:rPr>
          <w:rStyle w:val="VerbatimChar"/>
        </w:rPr>
        <w:t xml:space="preserve">    (= 345 L2 Y + 135 R1 + 30 R2 + 25 R3 + 15 R4 + 4 R5 + 8 R6 + 0 R7 + 3 R8)</w:t>
      </w:r>
      <w:r>
        <w:br/>
      </w:r>
      <w:r>
        <w:br/>
      </w:r>
      <w:r>
        <w:rPr>
          <w:rStyle w:val="VerbatimChar"/>
        </w:rPr>
        <w:t xml:space="preserve">  Extraction pre-screen — Round 9 (worklist v11→v12, 19/05/2026,</w:t>
      </w:r>
      <w:r>
        <w:br/>
      </w:r>
      <w:r>
        <w:rPr>
          <w:rStyle w:val="VerbatimChar"/>
        </w:rPr>
        <w:t xml:space="preserve">      title-pattern analysis for 92 unresolved prescreen flags):</w:t>
      </w:r>
      <w:r>
        <w:br/>
      </w:r>
      <w:r>
        <w:rPr>
          <w:rStyle w:val="VerbatimChar"/>
        </w:rPr>
        <w:t xml:space="preserve">    Y (include for extraction):                       n =    41  ✓</w:t>
      </w:r>
      <w:r>
        <w:br/>
      </w:r>
      <w:r>
        <w:rPr>
          <w:rStyle w:val="VerbatimChar"/>
        </w:rPr>
        <w:t xml:space="preserve">    N (exclude from extraction priority):             n =    51</w:t>
      </w:r>
      <w:r>
        <w:br/>
      </w:r>
      <w:r>
        <w:rPr>
          <w:rStyle w:val="VerbatimChar"/>
        </w:rPr>
        <w:t xml:space="preserve">    Still UNSURE:                                     n =     0  ← ALL RESOLVED ✓</w:t>
      </w:r>
      <w:r>
        <w:br/>
      </w:r>
      <w:r>
        <w:rPr>
          <w:rStyle w:val="VerbatimChar"/>
        </w:rPr>
        <w:t xml:space="preserve">  Extraction pool prescreen: Y=435 (81.3%), N=100 (18.7%), UNSURE=0</w:t>
      </w:r>
      <w:r>
        <w:br/>
      </w:r>
      <w:r>
        <w:br/>
      </w:r>
      <w:r>
        <w:rPr>
          <w:rStyle w:val="VerbatimChar"/>
        </w:rPr>
        <w:t xml:space="preserve">ELIGIBILITY — Deduplication vs. Prior Database</w:t>
      </w:r>
      <w:r>
        <w:br/>
      </w:r>
      <w:r>
        <w:rPr>
          <w:rStyle w:val="VerbatimChar"/>
        </w:rPr>
        <w:t xml:space="preserve">─────────────────────────────────────────────────────────────────</w:t>
      </w:r>
      <w:r>
        <w:br/>
      </w:r>
      <w:r>
        <w:rPr>
          <w:rStyle w:val="VerbatimChar"/>
        </w:rPr>
        <w:t xml:space="preserve">Deduplicated against existing k=287 coded studies:</w:t>
      </w:r>
      <w:r>
        <w:br/>
      </w:r>
      <w:r>
        <w:rPr>
          <w:rStyle w:val="VerbatimChar"/>
        </w:rPr>
        <w:t xml:space="preserve">  Confirmed genuinely new (R1):                      n =   321  ✓</w:t>
      </w:r>
      <w:r>
        <w:br/>
      </w:r>
      <w:r>
        <w:rPr>
          <w:rStyle w:val="VerbatimChar"/>
        </w:rPr>
        <w:t xml:space="preserve">  Confirmed new (R1-R8):                             n =   214  (129+30+25+15+4+8+0+3)</w:t>
      </w:r>
      <w:r>
        <w:br/>
      </w:r>
      <w:r>
        <w:rPr>
          <w:rStyle w:val="VerbatimChar"/>
        </w:rPr>
        <w:t xml:space="preserve">  Active extraction pool (worklist v12):             n =   535  ✓</w:t>
      </w:r>
      <w:r>
        <w:br/>
      </w:r>
      <w:r>
        <w:rPr>
          <w:rStyle w:val="VerbatimChar"/>
        </w:rPr>
        <w:t xml:space="preserve">  Priority extraction candidates (prescreen Y):      n =   435  (310 with DOI; 125 no-DOI)</w:t>
      </w:r>
      <w:r>
        <w:br/>
      </w:r>
      <w:r>
        <w:rPr>
          <w:rStyle w:val="VerbatimChar"/>
        </w:rPr>
        <w:t xml:space="preserve">  Full-text excluded (reasons pending extraction):   n = [TBD]</w:t>
      </w:r>
      <w:r>
        <w:br/>
      </w:r>
      <w:r>
        <w:rPr>
          <w:rStyle w:val="VerbatimChar"/>
        </w:rPr>
        <w:t xml:space="preserve">    - No calculable r or convertible statistic</w:t>
      </w:r>
      <w:r>
        <w:br/>
      </w:r>
      <w:r>
        <w:rPr>
          <w:rStyle w:val="VerbatimChar"/>
        </w:rPr>
        <w:t xml:space="preserve">    - Unit of analysis not firm-level</w:t>
      </w:r>
      <w:r>
        <w:br/>
      </w:r>
      <w:r>
        <w:rPr>
          <w:rStyle w:val="VerbatimChar"/>
        </w:rPr>
        <w:t xml:space="preserve">    - Conference paper / thesis / working paper</w:t>
      </w:r>
      <w:r>
        <w:br/>
      </w:r>
      <w:r>
        <w:rPr>
          <w:rStyle w:val="VerbatimChar"/>
        </w:rPr>
        <w:t xml:space="preserve">    - Duplicate sample</w:t>
      </w:r>
      <w:r>
        <w:br/>
      </w:r>
      <w:r>
        <w:br/>
      </w:r>
      <w:r>
        <w:rPr>
          <w:rStyle w:val="VerbatimChar"/>
        </w:rPr>
        <w:t xml:space="preserve">NEW CANDIDATES (20 May 2026 full search, pending L2 screening):</w:t>
      </w:r>
      <w:r>
        <w:br/>
      </w:r>
      <w:r>
        <w:rPr>
          <w:rStyle w:val="VerbatimChar"/>
        </w:rPr>
        <w:t xml:space="preserve">─────────────────────────────────────────────────────────────────</w:t>
      </w:r>
      <w:r>
        <w:br/>
      </w:r>
      <w:r>
        <w:rPr>
          <w:rStyle w:val="VerbatimChar"/>
        </w:rPr>
        <w:t xml:space="preserve">  New candidates added to tracker v3:               n = 2,032  ✓</w:t>
      </w:r>
      <w:r>
        <w:br/>
      </w:r>
      <w:r>
        <w:rPr>
          <w:rStyle w:val="VerbatimChar"/>
        </w:rPr>
        <w:t xml:space="preserve">    1_DOI_FIRST (CrossRef DOI recovered):            n = 1,512  ✓</w:t>
      </w:r>
      <w:r>
        <w:br/>
      </w:r>
      <w:r>
        <w:rPr>
          <w:rStyle w:val="VerbatimChar"/>
        </w:rPr>
        <w:t xml:space="preserve">    2_NO_DOI_MANUAL (title/GS search required):      n =   520  ✓</w:t>
      </w:r>
      <w:r>
        <w:br/>
      </w:r>
      <w:r>
        <w:rPr>
          <w:rStyle w:val="VerbatimChar"/>
        </w:rPr>
        <w:t xml:space="preserve">  Working file:  fulltext_to_extraction_tracker_v3.csv</w:t>
      </w:r>
      <w:r>
        <w:br/>
      </w:r>
      <w:r>
        <w:rPr>
          <w:rStyle w:val="VerbatimChar"/>
        </w:rPr>
        <w:t xml:space="preserve">                 (2,467 rows = 435 prior + 2,032 new; 58 cols)</w:t>
      </w:r>
      <w:r>
        <w:br/>
      </w:r>
      <w:r>
        <w:rPr>
          <w:rStyle w:val="VerbatimChar"/>
        </w:rPr>
        <w:t xml:space="preserve">  Status: L2 full-text screening pending (OSF pre-registration confirmed)</w:t>
      </w:r>
      <w:r>
        <w:br/>
      </w:r>
      <w:r>
        <w:br/>
      </w:r>
      <w:r>
        <w:rPr>
          <w:rStyle w:val="VerbatimChar"/>
        </w:rPr>
        <w:t xml:space="preserve">INCLUDED</w:t>
      </w:r>
      <w:r>
        <w:br/>
      </w:r>
      <w:r>
        <w:rPr>
          <w:rStyle w:val="VerbatimChar"/>
        </w:rPr>
        <w:t xml:space="preserve">─────────────────────────────────────────────────────────────────</w:t>
      </w:r>
      <w:r>
        <w:br/>
      </w:r>
      <w:r>
        <w:rPr>
          <w:rStyle w:val="VerbatimChar"/>
        </w:rPr>
        <w:t xml:space="preserve">Studies included in meta-analysis:   k = 278 (prior DB: k = 238; updated 24/05/2026)</w:t>
      </w:r>
      <w:r>
        <w:br/>
      </w:r>
      <w:r>
        <w:rPr>
          <w:rStyle w:val="VerbatimChar"/>
        </w:rPr>
        <w:t xml:space="preserve">Effect sizes coded:                  K = 328 (prior DB: K = 288; updated 24/05/2026)</w:t>
      </w:r>
      <w:r>
        <w:br/>
      </w:r>
      <w:r>
        <w:br/>
      </w:r>
      <w:r>
        <w:rPr>
          <w:rStyle w:val="VerbatimChar"/>
        </w:rPr>
        <w:t xml:space="preserve">Note: k=278 / K=328 reflects the current analytic database (p6_study_database_v2.csv).</w:t>
      </w:r>
      <w:r>
        <w:br/>
      </w:r>
      <w:r>
        <w:rPr>
          <w:rStyle w:val="VerbatimChar"/>
        </w:rPr>
        <w:t xml:space="preserve">Final k/K will increase further as new L2 extraction from 2,032 new candidates</w:t>
      </w:r>
      <w:r>
        <w:br/>
      </w:r>
      <w:r>
        <w:rPr>
          <w:rStyle w:val="VerbatimChar"/>
        </w:rPr>
        <w:t xml:space="preserve">(fulltext_to_extraction_tracker_v3.csv) is completed.</w:t>
      </w:r>
    </w:p>
    <w:p>
      <w:pPr>
        <w:pStyle w:val="FirstParagraph"/>
      </w:pPr>
      <w:r>
        <w:rPr>
          <w:iCs/>
          <w:i/>
        </w:rPr>
        <w:t xml:space="preserve">The PRISMA checklist (Page et al., 2021) is available from the corresponding author.</w:t>
      </w:r>
    </w:p>
    <w:p>
      <w:r>
        <w:pict>
          <v:rect style="width:0;height:1.5pt" o:hralign="center" o:hrstd="t" o:hr="t"/>
        </w:pict>
      </w:r>
    </w:p>
    <w:bookmarkEnd w:id="77"/>
    <w:bookmarkStart w:id="78" w:name="appendix-b--coding-protocol-7-moderators"/>
    <w:p>
      <w:pPr>
        <w:pStyle w:val="Heading2"/>
      </w:pPr>
      <w:r>
        <w:t xml:space="preserve">Appendix B —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78"/>
    <w:bookmarkStart w:id="79" w:name="X268400b3423c0b4852b72f307f2ef855f61e7ea"/>
    <w:p>
      <w:pPr>
        <w:pStyle w:val="Heading2"/>
      </w:pPr>
      <w:r>
        <w:t xml:space="preserve">Appendix C —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Three-level REML (3-level, k=278)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0.076</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[0.063, 0.089]</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65.9%</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57.1%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8.8%</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278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328</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0.00888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0.00137</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(65.9% vs. 87.92%) reflects the expanded</w:t>
      </w:r>
      <w:r>
        <w:t xml:space="preserve"> </w:t>
      </w:r>
      <w:r>
        <w:rPr>
          <w:iCs/>
          <w:i/>
        </w:rPr>
        <w:t xml:space="preserve">k</w:t>
      </w:r>
      <w:r>
        <w:t xml:space="preserve"> </w:t>
      </w:r>
      <w:r>
        <w:t xml:space="preserve">= 278 sample and the three-level structure that partitions variance across levels correctly. The decomposition shows that within-study variance (I²_(2) = 57.1%) dominates between-study variance (I²_(3) = 8.8%). The narrower 95% CI reflects the precision gain from 278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r>
        <w:t xml:space="preserve"> </w:t>
      </w:r>
      <w:r>
        <w:rPr>
          <w:iCs/>
          <w:i/>
        </w:rPr>
        <w:t xml:space="preserve">Target journal: International Business Review (IBR, Elsevier, IF ≈ 5.5, ABS-3). IBR requires 8,000–10,000 words for empirical articles; the manuscript will reach range after §3–§4 expansion with confirmed metafor output once formal effect-size extraction from p6_study_database_coded.md is complete using the standardized coding protocol (Appendix B).</w:t>
      </w:r>
    </w:p>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55" Target="media/rId55.png" /><Relationship Type="http://schemas.openxmlformats.org/officeDocument/2006/relationships/image" Id="rId27" Target="media/rId27.png" /><Relationship Type="http://schemas.openxmlformats.org/officeDocument/2006/relationships/hyperlink" Id="rId74" Target="https://doi.org/10.1136/bmj.n71" TargetMode="External" /><Relationship Type="http://schemas.openxmlformats.org/officeDocument/2006/relationships/hyperlink" Id="rId73" Target="https://doi.org/10.5772/intechopen.1011012" TargetMode="External" /><Relationship Type="http://schemas.openxmlformats.org/officeDocument/2006/relationships/hyperlink" Id="rId75" Target="https://info.worldbank.org/governance/wgi/" TargetMode="External" /><Relationship Type="http://schemas.openxmlformats.org/officeDocument/2006/relationships/hyperlink" Id="rId32" Target="https://osf.io/z37kn" TargetMode="External" /></Relationships>
</file>

<file path=word/_rels/footnotes.xml.rels><?xml version="1.0" encoding="UTF-8"?><Relationships xmlns="http://schemas.openxmlformats.org/package/2006/relationships"><Relationship Type="http://schemas.openxmlformats.org/officeDocument/2006/relationships/hyperlink" Id="rId74" Target="https://doi.org/10.1136/bmj.n71" TargetMode="External" /><Relationship Type="http://schemas.openxmlformats.org/officeDocument/2006/relationships/hyperlink" Id="rId73" Target="https://doi.org/10.5772/intechopen.1011012" TargetMode="External" /><Relationship Type="http://schemas.openxmlformats.org/officeDocument/2006/relationships/hyperlink" Id="rId75" Target="https://info.worldbank.org/governance/wgi/" TargetMode="External" /><Relationship Type="http://schemas.openxmlformats.org/officeDocument/2006/relationships/hyperlink" Id="rId32" Target="https://osf.io/z37k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2026-05-24T19:14:08Z</dcterms:created>
  <dcterms:modified xsi:type="dcterms:W3CDTF">2026-05-24T19:14:08Z</dcterms:modified>
</cp:coreProperties>
</file>

<file path=docProps/custom.xml><?xml version="1.0" encoding="utf-8"?>
<Properties xmlns="http://schemas.openxmlformats.org/officeDocument/2006/custom-properties" xmlns:vt="http://schemas.openxmlformats.org/officeDocument/2006/docPropsVTypes"/>
</file>