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Research on the internationalization–performance (I–P) relationship has largely settled whether it is non-linear; the unresolved question is what determines where its optimum falls. We develop and test a multi-level account in which the inverted-U is universal in form but jointly conditioned by institutional regime and digital capability: regime governs amplitude; digital capability reshapes the curve as a partial substitute for institutional strength. Using harmonised World Bank Enterprise Survey microdata (N = 82,302; 45 economies; 98 country-year waves, 2003–2025) spanning all six Institutional Context Regime Variation (ICRV) groups, we estimate hierarchical OLS models. The I–P relationship is robustly inverted-U with a turning point near 37% export intensity (Lind–Mehlum p &lt; .001). Concavity deepens as institutional quality declines — the over-internationalisation penalty is sharpest in frontier and vulnerable regimes. Digital adoption both raises performance and reshapes the curve; its reshaping potency is significantly stronger in weaker-institution regimes (</w:t>
      </w:r>
      <m:oMath>
        <m:r>
          <m:rPr>
            <m:nor/>
            <m:sty m:val="p"/>
          </m:rPr>
          <m:t>DAI</m:t>
        </m:r>
        <m:r>
          <m:rPr>
            <m:sty m:val="p"/>
          </m:rPr>
          <m:t>×</m:t>
        </m:r>
        <m:r>
          <m:rPr>
            <m:nor/>
            <m:sty m:val="p"/>
          </m:rPr>
          <m:t>ICRV</m:t>
        </m:r>
      </m:oMath>
      <w:r>
        <w:t xml:space="preserve"> </w:t>
      </w:r>
      <w:r>
        <w:t xml:space="preserve">p = .049), consistent with digital-for-institutional substitution. The account resolves the fragmented Asian I–P literature: divergent country findings locate firms at different positions on a single optimum.</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pPr>
        <w:pStyle w:val="BodyText"/>
      </w:pPr>
      <w:r>
        <w:rPr>
          <w:bCs/>
          <w:b/>
        </w:rPr>
        <w:t xml:space="preserve">JEL classification:</w:t>
      </w:r>
      <w:r>
        <w:t xml:space="preserve"> </w:t>
      </w:r>
      <w:r>
        <w:t xml:space="preserve">F23 (multinational firms; international business); O33 (technological change: choices and consequences); O17 (formal and informal sectors; institutional arrangements); D22 (firm behaviour: empirical analysis); L25 (firm performance); O53 (economywide country studies: Asia including Middle East).</w:t>
      </w:r>
    </w:p>
    <w:p>
      <w:pPr>
        <w:pStyle w:val="BodyText"/>
      </w:pPr>
      <w:r>
        <w:rPr>
          <w:bCs/>
          <w:b/>
        </w:rPr>
        <w:t xml:space="preserve">Paper type:</w:t>
      </w:r>
      <w:r>
        <w:t xml:space="preserve"> </w:t>
      </w:r>
      <w:r>
        <w:t xml:space="preserve">Research article (multi-country empirical)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 "is it an inverted-U?" 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 .545). For Singapore (companion study),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We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(Authors, 2024).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we flag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we return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we state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We expect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rPr>
          <w:bCs/>
          <w:b/>
        </w:rPr>
        <w:t xml:space="preserve">Companion-paper disclosure.</w:t>
      </w:r>
      <w:r>
        <w:t xml:space="preserve"> </w:t>
      </w:r>
      <w:r>
        <w:t xml:space="preserve">Throughout the paper we make repeated reference to "the companion Vietnam study," "the companion China study," and "the companion Singapore study." These are three single-country working papers prepared by the present author group on the same WBES data infrastructure, each tested as a stand-alone analysis under blinded peer review at separate journals. They are referred to with the</w:t>
      </w:r>
      <w:r>
        <w:t xml:space="preserve"> </w:t>
      </w:r>
      <w:r>
        <w:rPr>
          <w:iCs/>
          <w:i/>
        </w:rPr>
        <w:t xml:space="preserve">companion</w:t>
      </w:r>
      <w:r>
        <w:t xml:space="preserve"> </w:t>
      </w:r>
      <w:r>
        <w:t xml:space="preserve">label rather than cited as Author Citations because (a) the present manuscript is under blinded review and the author identities are masked, and (b) the country-specific findings are stable inputs the present analysis discusses but does not re-derive. We flag the relationship rather than conceal it so that readers may interpret the cross-paper consistency claims with appropriate caution: the country comparators are drawn from our own research programme, not from independent third-party replications.</w:t>
      </w:r>
    </w:p>
    <w:p>
      <w:pPr>
        <w:pStyle w:val="BodyText"/>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We report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we include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we report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we adopt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 .001);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we record as a boundary on causal interpretation.</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 .000).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 .001) and</w:t>
      </w:r>
      <w:r>
        <w:t xml:space="preserve"> </w:t>
      </w:r>
      <m:oMath>
        <m:sSub>
          <m:e>
            <m:r>
              <m:t>β</m:t>
            </m:r>
          </m:e>
          <m:sub>
            <m:r>
              <m:t>2</m:t>
            </m:r>
          </m:sub>
        </m:sSub>
      </m:oMath>
      <w:r>
        <w:t xml:space="preserve"> </w:t>
      </w:r>
      <w:r>
        <w:t xml:space="preserve">= −1.630 (p &lt; .001),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 .001), confirming a positive ascending limb; (C2)</w:t>
      </w:r>
      <w:r>
        <w:t xml:space="preserve"> </w:t>
      </w:r>
      <m:oMath>
        <m:sSub>
          <m:e>
            <m:r>
              <m:t>β</m:t>
            </m:r>
          </m:e>
          <m:sub>
            <m:r>
              <m:t>2</m:t>
            </m:r>
          </m:sub>
        </m:sSub>
      </m:oMath>
      <w:r>
        <w:t xml:space="preserve"> </w:t>
      </w:r>
      <w:r>
        <w:t xml:space="preserve">= −1.630 (p &lt; .001),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 .001). The inverted-U remains significant when controls are added (M3: TP = 34.1%, LM p &lt; .001) and when country-year fixed effects absorb all unobserved time-varying country heterogeneity (M5: TP = 39.5%, LM p &lt; .001, adj</w:t>
      </w:r>
      <m:oMath>
        <m:sSup>
          <m:e>
            <m:r>
              <m:t>R</m:t>
            </m:r>
          </m:e>
          <m:sup>
            <m:r>
              <m:t>2</m:t>
            </m:r>
          </m:sup>
        </m:sSup>
      </m:oMath>
      <w:r>
        <w:t xml:space="preserve"> </w:t>
      </w:r>
      <w:r>
        <w:t xml:space="preserve">= .671). The consistency of the turning point across M2, M3, and M5, ranging from 34.1% to 39.5%, provides strong evidence that the inverted-U is not an artefact of omitted country-level confounders.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 .001) raises adj</w:t>
      </w:r>
      <m:oMath>
        <m:sSup>
          <m:e>
            <m:r>
              <m:t>R</m:t>
            </m:r>
          </m:e>
          <m:sup>
            <m:r>
              <m:t>2</m:t>
            </m:r>
          </m:sup>
        </m:sSup>
      </m:oMath>
      <w:r>
        <w:t xml:space="preserve"> </w:t>
      </w:r>
      <w:r>
        <w:t xml:space="preserve">from .017 to .027.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 .001),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 .001),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 .001, ***) and</w:t>
      </w:r>
      <w:r>
        <w:t xml:space="preserve"> </w:t>
      </w:r>
      <m:oMath>
        <m:sSup>
          <m:e>
            <m:r>
              <m:rPr>
                <m:nor/>
                <m:sty m:val="p"/>
              </m:rPr>
              <m:t>FSTS</m:t>
            </m:r>
          </m:e>
          <m:sup>
            <m:r>
              <m:t>2</m:t>
            </m:r>
          </m:sup>
        </m:sSup>
        <m:r>
          <m:rPr>
            <m:sty m:val="p"/>
          </m:rPr>
          <m:t>×</m:t>
        </m:r>
        <m:r>
          <m:rPr>
            <m:nor/>
            <m:sty m:val="p"/>
          </m:rPr>
          <m:t>DAI</m:t>
        </m:r>
      </m:oMath>
      <w:r>
        <w:t xml:space="preserve"> </w:t>
      </w:r>
      <w:r>
        <w:t xml:space="preserve">= +0.726 (p = .002, **). The interaction pattern, negative</w:t>
      </w:r>
      <w:r>
        <w:t xml:space="preserve"> </w:t>
      </w:r>
      <m:oMath>
        <m:r>
          <m:rPr>
            <m:nor/>
            <m:sty m:val="p"/>
          </m:rPr>
          <m:t>FSTS</m:t>
        </m:r>
        <m:r>
          <m:rPr>
            <m:sty m:val="p"/>
          </m:rPr>
          <m:t>×</m:t>
        </m:r>
        <m:r>
          <m:rPr>
            <m:nor/>
            <m:sty m:val="p"/>
          </m:rPr>
          <m:t>DAI</m:t>
        </m:r>
      </m:oMath>
      <w:r>
        <w:t xml:space="preserve"> </w:t>
      </w:r>
      <w:r>
        <w:t xml:space="preserve">and positive</w:t>
      </w:r>
      <w:r>
        <w:t xml:space="preserve"> </w:t>
      </w:r>
      <m:oMath>
        <m:sSup>
          <m:e>
            <m:r>
              <m:rPr>
                <m:nor/>
                <m:sty m:val="p"/>
              </m:rPr>
              <m:t>FSTS</m:t>
            </m:r>
          </m:e>
          <m:sup>
            <m:r>
              <m:t>2</m:t>
            </m:r>
          </m:sup>
        </m:sSup>
        <m:r>
          <m:rPr>
            <m:sty m:val="p"/>
          </m:rPr>
          <m:t>×</m:t>
        </m:r>
        <m:r>
          <m:rPr>
            <m:nor/>
            <m:sty m:val="p"/>
          </m:rPr>
          <m:t>DAI</m:t>
        </m:r>
      </m:oMath>
      <w: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t xml:space="preserve"> </w:t>
      </w:r>
      <m:oMath>
        <m:r>
          <m:rPr>
            <m:nor/>
            <m:sty m:val="p"/>
          </m:rPr>
          <m:t>FSTS</m:t>
        </m:r>
        <m:r>
          <m:rPr>
            <m:sty m:val="p"/>
          </m:rPr>
          <m:t>×</m:t>
        </m:r>
        <m:r>
          <m:rPr>
            <m:nor/>
            <m:sty m:val="p"/>
          </m:rPr>
          <m:t>DAI</m:t>
        </m:r>
      </m:oMath>
      <w:r>
        <w:t xml:space="preserve"> </w:t>
      </w:r>
      <w:r>
        <w:t xml:space="preserve">= −0.786 (p &lt; .001, ***) and</w:t>
      </w:r>
      <w:r>
        <w:t xml:space="preserve"> </w:t>
      </w:r>
      <m:oMath>
        <m:sSup>
          <m:e>
            <m:r>
              <m:rPr>
                <m:nor/>
                <m:sty m:val="p"/>
              </m:rPr>
              <m:t>FSTS</m:t>
            </m:r>
          </m:e>
          <m:sup>
            <m:r>
              <m:t>2</m:t>
            </m:r>
          </m:sup>
        </m:sSup>
        <m:r>
          <m:rPr>
            <m:sty m:val="p"/>
          </m:rPr>
          <m:t>×</m:t>
        </m:r>
        <m:r>
          <m:rPr>
            <m:nor/>
            <m:sty m:val="p"/>
          </m:rPr>
          <m:t>DAI</m:t>
        </m:r>
      </m:oMath>
      <w:r>
        <w:t xml:space="preserve"> </w:t>
      </w:r>
      <w:r>
        <w:t xml:space="preserve">= +0.982 (p &lt; .001, ***).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 .001) and female top manager (</w:t>
      </w:r>
      <m:oMath>
        <m:r>
          <m:t>β</m:t>
        </m:r>
      </m:oMath>
      <w:r>
        <w:t xml:space="preserve"> </w:t>
      </w:r>
      <w:r>
        <w:t xml:space="preserve">= +0.202, p &lt; .001)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 .29) or M11 (</w:t>
      </w:r>
      <m:oMath>
        <m:r>
          <m:t>β</m:t>
        </m:r>
      </m:oMath>
      <w:r>
        <w:t xml:space="preserve"> </w:t>
      </w:r>
      <w:r>
        <w:t xml:space="preserve">=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 .001)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 .001)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 .001).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1"/>
    <w:bookmarkStart w:id="42" w:name="X9026e2d91d64d9a264150c07f326e7e8bdce6ed"/>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primary inverted-U finding should therefore be read as a property of cross-sectional productivity levels, not of firm growth trajectories.</w:t>
      </w:r>
    </w:p>
    <w:p>
      <w:r>
        <w:pict>
          <v:rect style="width:0;height:1.5pt" o:hralign="center" o:hrstd="t" o:hr="t"/>
        </w:pict>
      </w:r>
    </w:p>
    <w:bookmarkEnd w:id="42"/>
    <w:bookmarkEnd w:id="43"/>
    <w:bookmarkStart w:id="51" w:name="X735612638e4e736e4693e459c258977262c0dfc"/>
    <w:p>
      <w:pPr>
        <w:pStyle w:val="Heading2"/>
      </w:pPr>
      <w:r>
        <w:t xml:space="preserve">5. Discussion</w:t>
      </w:r>
    </w:p>
    <w:bookmarkStart w:id="44" w:name="Xa5e458aa0b11713615a3f2356b399357e6a6289"/>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we offer a</w:t>
      </w:r>
      <w:r>
        <w:t xml:space="preserve"> </w:t>
      </w:r>
      <w:r>
        <w:rPr>
          <w:bCs/>
          <w:b/>
        </w:rPr>
        <w:t xml:space="preserve">relocated-optimum reframing</w:t>
      </w:r>
      <w:r>
        <w:t xml:space="preserve"> </w:t>
      </w:r>
      <w:r>
        <w:t xml:space="preserve">of the two-decade debate over the shape of the I–P curve. We do not claim a novel non-linear functional form; the inverted-U is well established (Lu &amp; Beamish, 2004; Contractor et al., 2003; Bausch &amp; Krist, 2007; Kirca et al., 2012; Marano et al., 2016), and the role of context as a moderator is the canonical response to the resulting heterogeneity (Kirca et al., 2012; Marano et al., 2016; Wu et al., 2022). Our integrative reframing is that the inverted-U holds across all six ICRV regime groups (H1) while its shape is</w:t>
      </w:r>
      <w:r>
        <w:t xml:space="preserve"> </w:t>
      </w:r>
      <w:r>
        <w:rPr>
          <w:iCs/>
          <w:i/>
        </w:rPr>
        <w:t xml:space="preserve">not</w:t>
      </w:r>
      <w:r>
        <w:t xml:space="preserve"> </w:t>
      </w:r>
      <w:r>
        <w:t xml:space="preserve">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therefore not to overturn the inverted-U canon but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The closest prior firm-level evidence is Bustamante, Mingo, and Matusik (2022), who document complementary institutional and digital-capability effects on SME internationalization in a multi-country sample; our contribution is to extend that line by showing the substitution direction (not complementarity) emerges in the specific case of the export-intensity–performance conversion when the digital measure is the foundational Tier-1/Tier-2 capability captured by WBES across 45 institutionally heterogeneous economies. Read against this precedent, the result is incremental rather than discovery-class, and the substantive p = .049 estimate should be interpreted with appropriate caution (see Section 5.4).</w:t>
      </w:r>
    </w:p>
    <w:p>
      <w:pPr>
        <w:pStyle w:val="BodyText"/>
      </w:pPr>
      <w:r>
        <w:t xml:space="preserve">Third, the</w:t>
      </w:r>
      <w:r>
        <w:t xml:space="preserve"> </w:t>
      </w:r>
      <w:r>
        <w:rPr>
          <w:bCs/>
          <w:b/>
        </w:rPr>
        <w:t xml:space="preserve">level–relocation distinction</w:t>
      </w:r>
      <w:r>
        <w:t xml:space="preserve"> </w:t>
      </w:r>
      <w:r>
        <w:t xml:space="preserve">sharpens an analytical distinction that the capabilities and contingency literatures often invoke implicitly. Building on the long-standing distinction between performance-level shifters and curve-shape moderators in non-linear strategy research (Haans, Pieters, &amp; He, 2016), we operationalise the distinction empirically across 45 economies: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X381ae9f4c7122165334ae4257eca14a0f447839"/>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Xaae4211195cfb5cc72c709e3e6b6982f655cd35"/>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afc58fd22326ac90adecd20d47a61dc10c32f54"/>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We interpret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w:t>
      </w:r>
    </w:p>
    <w:p>
      <w:pPr>
        <w:pStyle w:val="BodyText"/>
      </w:pPr>
      <w:r>
        <w:t xml:space="preserve">A multiple-comparison caveat applies. The two-way</w:t>
      </w:r>
      <w:r>
        <w:t xml:space="preserve"> </w:t>
      </w:r>
      <m:oMath>
        <m:r>
          <m:rPr>
            <m:nor/>
            <m:sty m:val="p"/>
          </m:rPr>
          <m:t>DAI</m:t>
        </m:r>
        <m:r>
          <m:rPr>
            <m:sty m:val="p"/>
          </m:rPr>
          <m:t>×</m:t>
        </m:r>
        <m:r>
          <m:rPr>
            <m:nor/>
            <m:sty m:val="p"/>
          </m:rPr>
          <m:t>ICRV</m:t>
        </m:r>
      </m:oMath>
      <w:r>
        <w:t xml:space="preserve"> </w:t>
      </w:r>
      <w:r>
        <w:t xml:space="preserve">interaction at p = .049 was estimated alongside several other moderator and three-way terms across the M5–M11 sequence (Appendix A); under a Bonferroni-style correction for the principal interactions of theoretical interest (TCI moderation, DAI moderation, ICRV moderation, and the FSTS × DAI × ICRV three-way), the per-test threshold tightens to approximately</w:t>
      </w:r>
      <w:r>
        <w:t xml:space="preserve"> </w:t>
      </w:r>
      <m:oMath>
        <m:sSup>
          <m:e>
            <m:r>
              <m:t>α</m:t>
            </m:r>
          </m:e>
          <m:sup>
            <m:r>
              <m:rPr>
                <m:sty m:val="p"/>
              </m:rPr>
              <m:t>*</m:t>
            </m:r>
          </m:sup>
        </m:sSup>
        <m:r>
          <m:rPr>
            <m:sty m:val="p"/>
          </m:rPr>
          <m:t>≈</m:t>
        </m:r>
        <m:r>
          <m:t>.013</m:t>
        </m:r>
      </m:oMath>
      <w:r>
        <w:t xml:space="preserve">, which the p = .049 estimate does</w:t>
      </w:r>
      <w:r>
        <w:t xml:space="preserve"> </w:t>
      </w:r>
      <w:r>
        <w:rPr>
          <w:iCs/>
          <w:i/>
        </w:rPr>
        <w:t xml:space="preserve">not</w:t>
      </w:r>
      <w:r>
        <w:t xml:space="preserve"> </w:t>
      </w:r>
      <w:r>
        <w:t xml:space="preserve">survive. The ICRV moderation of curvature (H5, both linear and quadratic interaction terms p &lt; .001) remains robust under any reasonable family-wise correction. We therefore report the substitution result as a directionally consistent, theoretically anchored but pre-correction borderline finding that motivates targeted replication on a Tier 3–4-capable digital instrument, not as a definitively established estimate. Reading the p = .049 estimate with this caution, we frame the substitution claim as the most theoretically consequential and empirically supported component of the digital story relative to the null three-way, while leaving the curvature-reshaping potential of richer (Tier 3–4) digital capabilities as an open question for future data.</w:t>
      </w:r>
    </w:p>
    <w:bookmarkEnd w:id="47"/>
    <w:bookmarkStart w:id="48" w:name="Xa40539f42ceb0265beaf64c7d98f70ca0ae101a"/>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X268c916b26bbeb1e0111743927fd75743ff83ab"/>
    <w:p>
      <w:pPr>
        <w:pStyle w:val="Heading3"/>
      </w:pPr>
      <w:r>
        <w:t xml:space="preserve">5.6 Limitations</w:t>
      </w:r>
    </w:p>
    <w:p>
      <w:pPr>
        <w:pStyle w:val="FirstParagraph"/>
      </w:pPr>
      <w:r>
        <w:t xml:space="preserve">Five inferential constraints bound these findings. First, WBES is a cross-sectional design: the term "performance" 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w:t>
      </w:r>
      <m:oMath>
        <m:r>
          <m:t>β</m:t>
        </m:r>
      </m:oMath>
      <w:r>
        <w:t xml:space="preserve"> </w:t>
      </w:r>
      <w:r>
        <w:t xml:space="preserve">=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X53bfa9f9d740332653d495f3805327b6b3f6785"/>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X56025c6d9dbf7520f7a7df11f905cdd09f46e4a"/>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(suggestively) a partial substitute for institutional infrastructure; the</w:t>
      </w:r>
      <w:r>
        <w:t xml:space="preserve"> </w:t>
      </w:r>
      <m:oMath>
        <m:r>
          <m:rPr>
            <m:nor/>
            <m:sty m:val="p"/>
          </m:rPr>
          <m:t>DAI</m:t>
        </m:r>
        <m:r>
          <m:rPr>
            <m:sty m:val="p"/>
          </m:rPr>
          <m:t>×</m:t>
        </m:r>
        <m:r>
          <m:rPr>
            <m:nor/>
            <m:sty m:val="p"/>
          </m:rPr>
          <m:t>ICRV</m:t>
        </m:r>
      </m:oMath>
      <w:r>
        <w:t xml:space="preserve"> </w:t>
      </w:r>
      <w:r>
        <w:t xml:space="preserve">interaction at the level margin (p = .049, pre-correction borderline; Section 5.4) points toward digitalisation as a high-leverage instrument in frontier and vulnerable regimes, conditional on replication with Tier 3–4 digital instruments.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4"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t>
      </w:r>
      <w:hyperlink r:id="rId53">
        <w:r>
          <w:rPr>
            <w:rStyle w:val="Hyperlink"/>
          </w:rPr>
          <w:t xml:space="preserve">www.enterprisesurveys.org</w:t>
        </w:r>
      </w:hyperlink>
      <w:r>
        <w:t xml:space="preserve">).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4"/>
    <w:bookmarkStart w:id="55" w:name="conflict-of-interest"/>
    <w:p>
      <w:pPr>
        <w:pStyle w:val="Heading2"/>
      </w:pPr>
      <w:r>
        <w:t xml:space="preserve">Conflict of Interest</w:t>
      </w:r>
    </w:p>
    <w:p>
      <w:pPr>
        <w:pStyle w:val="FirstParagraph"/>
      </w:pPr>
      <w:r>
        <w:t xml:space="preserve">The authors declare no conflict of interest.</w:t>
      </w:r>
    </w:p>
    <w:bookmarkEnd w:id="55"/>
    <w:bookmarkStart w:id="5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underlying WBES data covering 45 Asian and Pacific economies (98 country-year waves). The findings, interpretations, and conclusions expressed in this paper are entirely those of the authors and do not necessarily represent the views of the World Bank Group, its Executive Directors, or the governments they represent.</w:t>
      </w:r>
    </w:p>
    <w:bookmarkEnd w:id="57"/>
    <w:bookmarkStart w:id="58"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M0–M11 model ladder, formatting of the reference list, and assembly of replication-package documentation. All conceptual framing (including the CDCM framework and ICRV regime construct), hypothesis development, empirical analysis, results interpretation, and final wording were authored by the human authors, who take full responsibility for the content of the publication.</w:t>
      </w:r>
    </w:p>
    <w:bookmarkEnd w:id="58"/>
    <w:bookmarkStart w:id="87"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9">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0">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61">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62">
        <w:r>
          <w:rPr>
            <w:rStyle w:val="Hyperlink"/>
          </w:rPr>
          <w:t xml:space="preserve">https://doi.org/10.1016/S1479-8387(05)02011-4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6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6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7">
        <w:r>
          <w:rPr>
            <w:rStyle w:val="Hyperlink"/>
          </w:rPr>
          <w:t xml:space="preserve">https://doi.org/10.1007/s10869-013-9308-7</w:t>
        </w:r>
      </w:hyperlink>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7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7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73">
        <w:r>
          <w:rPr>
            <w:rStyle w:val="Hyperlink"/>
          </w:rPr>
          <w:t xml:space="preserve">https://doi.org/10.1057/jibs.2009.24</w:t>
        </w:r>
      </w:hyperlink>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80">
        <w:r>
          <w:rPr>
            <w:rStyle w:val="Hyperlink"/>
          </w:rPr>
          <w:t xml:space="preserve">https://doi.org/10.1177/0149206308330560</w:t>
        </w:r>
      </w:hyperlink>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81">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w:t>
      </w:r>
      <w:r>
        <w:t xml:space="preserve"> </w:t>
      </w:r>
      <w:hyperlink r:id="rId82">
        <w:r>
          <w:rPr>
            <w:rStyle w:val="Hyperlink"/>
          </w:rPr>
          <w:t xml:space="preserve">https://unstats.un.org/unsd/methodology/m49/</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3">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84">
        <w:r>
          <w:rPr>
            <w:rStyle w:val="Hyperlink"/>
          </w:rPr>
          <w:t xml:space="preserve">https://doi.org/10.1002/smj.4250050207</w:t>
        </w:r>
      </w:hyperlink>
    </w:p>
    <w:p>
      <w:pPr>
        <w:pStyle w:val="BodyText"/>
      </w:pPr>
      <w:r>
        <w:t xml:space="preserve">World Bank. (2022).</w:t>
      </w:r>
      <w:r>
        <w:t xml:space="preserve"> </w:t>
      </w:r>
      <w:r>
        <w:rPr>
          <w:iCs/>
          <w:i/>
        </w:rPr>
        <w:t xml:space="preserve">Enterprise surveys: Sampling methodology</w:t>
      </w:r>
      <w:r>
        <w:t xml:space="preserve">. World Bank Group.</w:t>
      </w:r>
      <w:r>
        <w:t xml:space="preserve"> </w:t>
      </w:r>
      <w:hyperlink r:id="rId85">
        <w:r>
          <w:rPr>
            <w:rStyle w:val="Hyperlink"/>
          </w:rPr>
          <w:t xml:space="preserve">https://www.enterprisesurveys.org</w:t>
        </w:r>
      </w:hyperlink>
    </w:p>
    <w:p>
      <w:pPr>
        <w:pStyle w:val="BodyText"/>
      </w:pPr>
      <w:r>
        <w:t xml:space="preserve">World Bank. (2025).</w:t>
      </w:r>
      <w:r>
        <w:t xml:space="preserve"> </w:t>
      </w:r>
      <w:r>
        <w:rPr>
          <w:iCs/>
          <w:i/>
        </w:rPr>
        <w:t xml:space="preserve">Enterprise surveys</w:t>
      </w:r>
      <w:r>
        <w:t xml:space="preserve">.</w:t>
      </w:r>
      <w:r>
        <w:t xml:space="preserve"> </w:t>
      </w:r>
      <w:hyperlink r:id="rId85">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86">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86">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87"/>
    <w:bookmarkStart w:id="88"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w:t>
      </w:r>
      <m:oMath>
        <m:sSup>
          <m:e>
            <m:r>
              <m:t>R</m:t>
            </m:r>
          </m:e>
          <m:sup>
            <m:r>
              <m:t>2</m:t>
            </m:r>
          </m:sup>
        </m:sSup>
      </m:oMath>
      <w:r>
        <w:t xml:space="preserve">=.057, TP=25.7%, LM p = .026):</w:t>
      </w:r>
      <w:r>
        <w:t xml:space="preserve"> </w:t>
      </w:r>
      <m:oMath>
        <m:r>
          <m:rPr>
            <m:nor/>
            <m:sty m:val="p"/>
          </m:rPr>
          <m:t>DAI</m:t>
        </m:r>
        <m:r>
          <m:rPr>
            <m:sty m:val="p"/>
          </m:rPr>
          <m:t>×</m:t>
        </m:r>
        <m:r>
          <m:rPr>
            <m:nor/>
            <m:sty m:val="p"/>
          </m:rPr>
          <m:t>ICRV</m:t>
        </m:r>
      </m:oMath>
      <w:r>
        <w:t xml:space="preserve">=+0.052*, three-way</w:t>
      </w:r>
      <w:r>
        <w:t xml:space="preserve"> </w:t>
      </w:r>
      <m:oMath>
        <m:r>
          <m:rPr>
            <m:nor/>
            <m:sty m:val="p"/>
          </m:rPr>
          <m:t>FSTS</m:t>
        </m:r>
        <m:r>
          <m:rPr>
            <m:sty m:val="p"/>
          </m:rPr>
          <m:t>×</m:t>
        </m:r>
        <m:r>
          <m:rPr>
            <m:nor/>
            <m:sty m:val="p"/>
          </m:rPr>
          <m:t>DAI</m:t>
        </m:r>
        <m:r>
          <m:rPr>
            <m:sty m:val="p"/>
          </m:rPr>
          <m:t>×</m:t>
        </m:r>
        <m:r>
          <m:rPr>
            <m:nor/>
            <m:sty m:val="p"/>
          </m:rPr>
          <m:t>ICRV</m:t>
        </m:r>
      </m:oMath>
      <w:r>
        <w:t xml:space="preserve">=−0.016 (NS), mgr_experience=+0.022***, FSTS</w:t>
      </w:r>
      <m:oMath>
        <m:r>
          <m:rPr>
            <m:sty m:val="p"/>
          </m:rPr>
          <m:t>×</m:t>
        </m:r>
      </m:oMath>
      <w:r>
        <w:t xml:space="preserve">mgr=+0.007 (NS), mgr_female=+0.210***, female_owner=+0.122**.</w:t>
      </w:r>
    </w:p>
    <w:p>
      <w:r>
        <w:pict>
          <v:rect style="width:0;height:1.5pt" o:hralign="center" o:hrstd="t" o:hr="t"/>
        </w:pict>
      </w:r>
    </w:p>
    <w:bookmarkEnd w:id="88"/>
    <w:bookmarkStart w:id="89"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89"/>
    <w:bookmarkEnd w:id="9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www.enterprisesurveys.org" TargetMode="External" /><Relationship Type="http://schemas.openxmlformats.org/officeDocument/2006/relationships/hyperlink" Id="rId74" Target="https://doi.org/10.1002/gsj.1028" TargetMode="External" /><Relationship Type="http://schemas.openxmlformats.org/officeDocument/2006/relationships/hyperlink" Id="rId81" Target="https://doi.org/10.1002/gsj.1336" TargetMode="External" /><Relationship Type="http://schemas.openxmlformats.org/officeDocument/2006/relationships/hyperlink" Id="rId69" Target="https://doi.org/10.1002/smj.2399" TargetMode="External" /><Relationship Type="http://schemas.openxmlformats.org/officeDocument/2006/relationships/hyperlink" Id="rId84" Target="https://doi.org/10.1002/smj.4250050207" TargetMode="External" /><Relationship Type="http://schemas.openxmlformats.org/officeDocument/2006/relationships/hyperlink" Id="rId67" Target="https://doi.org/10.1007/s10869-013-9308-7" TargetMode="External" /><Relationship Type="http://schemas.openxmlformats.org/officeDocument/2006/relationships/hyperlink" Id="rId61" Target="https://doi.org/10.1007/s11187-005-5599-z" TargetMode="External" /><Relationship Type="http://schemas.openxmlformats.org/officeDocument/2006/relationships/hyperlink" Id="rId60" Target="https://doi.org/10.1007/s11575-007-0019-z" TargetMode="External" /><Relationship Type="http://schemas.openxmlformats.org/officeDocument/2006/relationships/hyperlink" Id="rId62" Target="https://doi.org/10.1016/S1479-8387(05)02011-4" TargetMode="External" /><Relationship Type="http://schemas.openxmlformats.org/officeDocument/2006/relationships/hyperlink" Id="rId83" Target="https://doi.org/10.1016/j.jbusres.2019.09.022" TargetMode="External" /><Relationship Type="http://schemas.openxmlformats.org/officeDocument/2006/relationships/hyperlink" Id="rId65" Target="https://doi.org/10.1016/j.jwb.2007.06.003" TargetMode="External" /><Relationship Type="http://schemas.openxmlformats.org/officeDocument/2006/relationships/hyperlink" Id="rId79" Target="https://doi.org/10.1016/j.jwb.2007.11.009" TargetMode="External" /><Relationship Type="http://schemas.openxmlformats.org/officeDocument/2006/relationships/hyperlink" Id="rId66" Target="https://doi.org/10.1016/j.jwb.2017.11.003" TargetMode="External" /><Relationship Type="http://schemas.openxmlformats.org/officeDocument/2006/relationships/hyperlink" Id="rId73" Target="https://doi.org/10.1057/jibs.2009.24" TargetMode="External" /><Relationship Type="http://schemas.openxmlformats.org/officeDocument/2006/relationships/hyperlink" Id="rId78" Target="https://doi.org/10.1057/jibs.2016.7" TargetMode="External" /><Relationship Type="http://schemas.openxmlformats.org/officeDocument/2006/relationships/hyperlink" Id="rId64" Target="https://doi.org/10.1057/palgrave.jibs.8400003" TargetMode="External" /><Relationship Type="http://schemas.openxmlformats.org/officeDocument/2006/relationships/hyperlink" Id="rId68" Target="https://doi.org/10.1057/palgrave.jibs.8490065" TargetMode="External" /><Relationship Type="http://schemas.openxmlformats.org/officeDocument/2006/relationships/hyperlink" Id="rId72" Target="https://doi.org/10.1057/palgrave.jibs.8490676" TargetMode="External" /><Relationship Type="http://schemas.openxmlformats.org/officeDocument/2006/relationships/hyperlink" Id="rId76" Target="https://doi.org/10.1080/00031305.2000.10474549" TargetMode="External" /><Relationship Type="http://schemas.openxmlformats.org/officeDocument/2006/relationships/hyperlink" Id="rId75" Target="https://doi.org/10.1111/j.1468-0084.2009.00569.x" TargetMode="External" /><Relationship Type="http://schemas.openxmlformats.org/officeDocument/2006/relationships/hyperlink" Id="rId80" Target="https://doi.org/10.1177/0149206308330560" TargetMode="External" /><Relationship Type="http://schemas.openxmlformats.org/officeDocument/2006/relationships/hyperlink" Id="rId59" Target="https://doi.org/10.1177/014920639101700108" TargetMode="External" /><Relationship Type="http://schemas.openxmlformats.org/officeDocument/2006/relationships/hyperlink" Id="rId77" Target="https://doi.org/10.2307/20159604" TargetMode="External" /><Relationship Type="http://schemas.openxmlformats.org/officeDocument/2006/relationships/hyperlink" Id="rId63" Target="https://doi.org/10.2307/2393553" TargetMode="External" /><Relationship Type="http://schemas.openxmlformats.org/officeDocument/2006/relationships/hyperlink" Id="rId71" Target="https://doi.org/10.5465/amr.1984.4277628" TargetMode="External" /><Relationship Type="http://schemas.openxmlformats.org/officeDocument/2006/relationships/hyperlink" Id="rId70" Target="https://doi.org/10.5465/amr.2007.24345254" TargetMode="External" /><Relationship Type="http://schemas.openxmlformats.org/officeDocument/2006/relationships/hyperlink" Id="rId82" Target="https://unstats.un.org/unsd/methodology/m49/" TargetMode="External" /><Relationship Type="http://schemas.openxmlformats.org/officeDocument/2006/relationships/hyperlink" Id="rId85" Target="https://www.enterprisesurveys.org" TargetMode="External" /><Relationship Type="http://schemas.openxmlformats.org/officeDocument/2006/relationships/hyperlink" Id="rId86"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3" Target="http://www.enterprisesurveys.org" TargetMode="External" /><Relationship Type="http://schemas.openxmlformats.org/officeDocument/2006/relationships/hyperlink" Id="rId74" Target="https://doi.org/10.1002/gsj.1028" TargetMode="External" /><Relationship Type="http://schemas.openxmlformats.org/officeDocument/2006/relationships/hyperlink" Id="rId81" Target="https://doi.org/10.1002/gsj.1336" TargetMode="External" /><Relationship Type="http://schemas.openxmlformats.org/officeDocument/2006/relationships/hyperlink" Id="rId69" Target="https://doi.org/10.1002/smj.2399" TargetMode="External" /><Relationship Type="http://schemas.openxmlformats.org/officeDocument/2006/relationships/hyperlink" Id="rId84" Target="https://doi.org/10.1002/smj.4250050207" TargetMode="External" /><Relationship Type="http://schemas.openxmlformats.org/officeDocument/2006/relationships/hyperlink" Id="rId67" Target="https://doi.org/10.1007/s10869-013-9308-7" TargetMode="External" /><Relationship Type="http://schemas.openxmlformats.org/officeDocument/2006/relationships/hyperlink" Id="rId61" Target="https://doi.org/10.1007/s11187-005-5599-z" TargetMode="External" /><Relationship Type="http://schemas.openxmlformats.org/officeDocument/2006/relationships/hyperlink" Id="rId60" Target="https://doi.org/10.1007/s11575-007-0019-z" TargetMode="External" /><Relationship Type="http://schemas.openxmlformats.org/officeDocument/2006/relationships/hyperlink" Id="rId62" Target="https://doi.org/10.1016/S1479-8387(05)02011-4" TargetMode="External" /><Relationship Type="http://schemas.openxmlformats.org/officeDocument/2006/relationships/hyperlink" Id="rId83" Target="https://doi.org/10.1016/j.jbusres.2019.09.022" TargetMode="External" /><Relationship Type="http://schemas.openxmlformats.org/officeDocument/2006/relationships/hyperlink" Id="rId65" Target="https://doi.org/10.1016/j.jwb.2007.06.003" TargetMode="External" /><Relationship Type="http://schemas.openxmlformats.org/officeDocument/2006/relationships/hyperlink" Id="rId79" Target="https://doi.org/10.1016/j.jwb.2007.11.009" TargetMode="External" /><Relationship Type="http://schemas.openxmlformats.org/officeDocument/2006/relationships/hyperlink" Id="rId66" Target="https://doi.org/10.1016/j.jwb.2017.11.003" TargetMode="External" /><Relationship Type="http://schemas.openxmlformats.org/officeDocument/2006/relationships/hyperlink" Id="rId73" Target="https://doi.org/10.1057/jibs.2009.24" TargetMode="External" /><Relationship Type="http://schemas.openxmlformats.org/officeDocument/2006/relationships/hyperlink" Id="rId78" Target="https://doi.org/10.1057/jibs.2016.7" TargetMode="External" /><Relationship Type="http://schemas.openxmlformats.org/officeDocument/2006/relationships/hyperlink" Id="rId64" Target="https://doi.org/10.1057/palgrave.jibs.8400003" TargetMode="External" /><Relationship Type="http://schemas.openxmlformats.org/officeDocument/2006/relationships/hyperlink" Id="rId68" Target="https://doi.org/10.1057/palgrave.jibs.8490065" TargetMode="External" /><Relationship Type="http://schemas.openxmlformats.org/officeDocument/2006/relationships/hyperlink" Id="rId72" Target="https://doi.org/10.1057/palgrave.jibs.8490676" TargetMode="External" /><Relationship Type="http://schemas.openxmlformats.org/officeDocument/2006/relationships/hyperlink" Id="rId76" Target="https://doi.org/10.1080/00031305.2000.10474549" TargetMode="External" /><Relationship Type="http://schemas.openxmlformats.org/officeDocument/2006/relationships/hyperlink" Id="rId75" Target="https://doi.org/10.1111/j.1468-0084.2009.00569.x" TargetMode="External" /><Relationship Type="http://schemas.openxmlformats.org/officeDocument/2006/relationships/hyperlink" Id="rId80" Target="https://doi.org/10.1177/0149206308330560" TargetMode="External" /><Relationship Type="http://schemas.openxmlformats.org/officeDocument/2006/relationships/hyperlink" Id="rId59" Target="https://doi.org/10.1177/014920639101700108" TargetMode="External" /><Relationship Type="http://schemas.openxmlformats.org/officeDocument/2006/relationships/hyperlink" Id="rId77" Target="https://doi.org/10.2307/20159604" TargetMode="External" /><Relationship Type="http://schemas.openxmlformats.org/officeDocument/2006/relationships/hyperlink" Id="rId63" Target="https://doi.org/10.2307/2393553" TargetMode="External" /><Relationship Type="http://schemas.openxmlformats.org/officeDocument/2006/relationships/hyperlink" Id="rId71" Target="https://doi.org/10.5465/amr.1984.4277628" TargetMode="External" /><Relationship Type="http://schemas.openxmlformats.org/officeDocument/2006/relationships/hyperlink" Id="rId70" Target="https://doi.org/10.5465/amr.2007.24345254" TargetMode="External" /><Relationship Type="http://schemas.openxmlformats.org/officeDocument/2006/relationships/hyperlink" Id="rId82" Target="https://unstats.un.org/unsd/methodology/m49/" TargetMode="External" /><Relationship Type="http://schemas.openxmlformats.org/officeDocument/2006/relationships/hyperlink" Id="rId85" Target="https://www.enterprisesurveys.org" TargetMode="External" /><Relationship Type="http://schemas.openxmlformats.org/officeDocument/2006/relationships/hyperlink" Id="rId86"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2026-06-02T03:26:28Z</dcterms:created>
  <dcterms:modified xsi:type="dcterms:W3CDTF">2026-06-02T03:26:28Z</dcterms:modified>
</cp:coreProperties>
</file>

<file path=docProps/custom.xml><?xml version="1.0" encoding="utf-8"?>
<Properties xmlns="http://schemas.openxmlformats.org/officeDocument/2006/custom-properties" xmlns:vt="http://schemas.openxmlformats.org/officeDocument/2006/docPropsVTypes"/>
</file>