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27 May 2026</w:t>
      </w:r>
    </w:p>
    <w:p>
      <w:pPr>
        <w:pStyle w:val="BodyText"/>
      </w:pPr>
      <w:r>
        <w:rPr>
          <w:iCs/>
          <w:i/>
        </w:rPr>
        <w:t xml:space="preserve">Target journal: Journal of Economics and Development (JED), Emerald Publishing on behalf of National Economics University (NEU)</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Revisits the internationalisation–performance (I-P) relationship in Vietnam across three survey waves, testing whether technological capability moderates export-intensity effects and how a Tier-1 digital indicator evolves across institutional generations.</w:t>
      </w:r>
    </w:p>
    <w:p>
      <w:pPr>
        <w:pStyle w:val="BodyText"/>
      </w:pPr>
      <w:r>
        <w:rPr>
          <w:bCs/>
          <w:b/>
        </w:rPr>
        <w:t xml:space="preserve">Design/methodology/approach.</w:t>
      </w:r>
      <w:r>
        <w:t xml:space="preserve"> </w:t>
      </w:r>
      <w:r>
        <w:t xml:space="preserve">Three WBES waves (Vietnam 2009, 2015, 2023; N = 2,958); wave-specific and pooled OLS with HC1 robust SEs, quadratic FSTS, and capability interactions. Lind–Mehlum U-tests and Paternoster z-tests assess the inverted-U and cross-wave equality.</w:t>
      </w:r>
    </w:p>
    <w:p>
      <w:pPr>
        <w:pStyle w:val="BodyText"/>
      </w:pPr>
      <w:r>
        <w:rPr>
          <w:bCs/>
          <w:b/>
        </w:rPr>
        <w:t xml:space="preserve">Findings.</w:t>
      </w:r>
      <w:r>
        <w:t xml:space="preserve"> </w:t>
      </w:r>
      <w:r>
        <w:t xml:space="preserve">Inverted-U holds in all waves with turning points at 39–46% — durable over 14 years. The nonlinearity is a participation-margin step: in the exporters-only subsample the quadratic loses significance (</w:t>
      </w:r>
      <m:oMath>
        <m:r>
          <m:t>β</m:t>
        </m:r>
      </m:oMath>
      <w:r>
        <w:t xml:space="preserve"> </w:t>
      </w:r>
      <w:r>
        <w:t xml:space="preserve">= −0.200, p = .660). TCI is positive across waves; the website indicator shows proxy obsolescence (positive 2009, null 2015, negatively interactive 2023).</w:t>
      </w:r>
    </w:p>
    <w:p>
      <w:pPr>
        <w:pStyle w:val="BodyText"/>
      </w:pPr>
      <w:r>
        <w:rPr>
          <w:bCs/>
          <w:b/>
        </w:rPr>
        <w:t xml:space="preserve">Research limitations/implications.</w:t>
      </w:r>
      <w:r>
        <w:t xml:space="preserve"> </w:t>
      </w:r>
      <w:r>
        <w:t xml:space="preserve">Repeated cross-sections support associational inference only; Tier-1 single-binary measurement constrains moderation tests.</w:t>
      </w:r>
    </w:p>
    <w:p>
      <w:pPr>
        <w:pStyle w:val="BodyText"/>
      </w:pPr>
      <w:r>
        <w:rPr>
          <w:bCs/>
          <w:b/>
        </w:rPr>
        <w:t xml:space="preserve">Practical implications.</w:t>
      </w:r>
      <w:r>
        <w:t xml:space="preserve"> </w:t>
      </w:r>
      <w:r>
        <w:t xml:space="preserve">39–46% FSTS is a bounded operating range for Vietnamese SMEs; Tier-1 website indicators have saturated under Decision 749/QĐ-TTg — programmes should shift to Tier-2/3 capabilities.</w:t>
      </w:r>
    </w:p>
    <w:p>
      <w:pPr>
        <w:pStyle w:val="BodyText"/>
      </w:pPr>
      <w:r>
        <w:rPr>
          <w:bCs/>
          <w:b/>
        </w:rPr>
        <w:t xml:space="preserve">Social implications.</w:t>
      </w:r>
      <w:r>
        <w:t xml:space="preserve"> </w:t>
      </w:r>
      <w:r>
        <w:t xml:space="preserve">Reframes SME export-promotion from "internationalise to grow" to "build prerequisites first," with implications for MOIT export-support equity.</w:t>
      </w:r>
    </w:p>
    <w:p>
      <w:pPr>
        <w:pStyle w:val="BodyText"/>
      </w:pPr>
      <w:r>
        <w:rPr>
          <w:bCs/>
          <w:b/>
        </w:rPr>
        <w:t xml:space="preserve">Originality/value.</w:t>
      </w:r>
      <w:r>
        <w:t xml:space="preserve"> </w:t>
      </w:r>
      <w:r>
        <w:t xml:space="preserve">The inverted-U here is a participation-barrier step function; Tier-1 coefficients mask proxy obsolescence. The 39–46% band qualifies — not overturns — Pisani et al. (2020, SMJ).</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numPr>
          <w:ilvl w:val="0"/>
          <w:numId w:val="1001"/>
        </w:numPr>
      </w:pPr>
      <w:r>
        <w:t xml:space="preserve">Inverted-U export-intensity threshold holds in Vietnamese firms across 3 waves (2009/2015/2023).</w:t>
      </w:r>
    </w:p>
    <w:p>
      <w:pPr>
        <w:numPr>
          <w:ilvl w:val="0"/>
          <w:numId w:val="1001"/>
        </w:numPr>
      </w:pPr>
      <w:r>
        <w:t xml:space="preserve">Turning points cluster at 39–46 % FSTS — a band durable through 14 years of institutional change.</w:t>
      </w:r>
    </w:p>
    <w:p>
      <w:pPr>
        <w:numPr>
          <w:ilvl w:val="0"/>
          <w:numId w:val="1001"/>
        </w:numPr>
      </w:pPr>
      <w:r>
        <w:t xml:space="preserve">The nonlinearity is a step function across the export-participation barrier, not within-exporter saturation.</w:t>
      </w:r>
    </w:p>
    <w:p>
      <w:pPr>
        <w:numPr>
          <w:ilvl w:val="0"/>
          <w:numId w:val="1001"/>
        </w:numPr>
      </w:pPr>
      <w:r>
        <w:t xml:space="preserve">TCI is positively associated with productivity and moderates curvature in three of four panels.</w:t>
      </w:r>
    </w:p>
    <w:p>
      <w:pPr>
        <w:numPr>
          <w:ilvl w:val="0"/>
          <w:numId w:val="1001"/>
        </w:numPr>
      </w:pPr>
      <w:r>
        <w:t xml:space="preserve">Tier-1 website indicator follows proxy-obsolescence: positive 2009, null 2015, negatively interactive 2023.</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The relationship between firm internationalisation and performance (I–P) has been one of the most extensively studied questions in international business, yet the central inverted-U finding (Lu &amp; Beamish, 2004; Marano et al., 2016) has been challenged on identification grounds for cross-national pooled samples (Pisani et al., 2020, SMJ). Within-country longitudinal designs that hold institutional context constant while varying time offer a more credible test.</w:t>
      </w:r>
    </w:p>
    <w:p>
      <w:pPr>
        <w:pStyle w:val="BodyText"/>
      </w:pPr>
      <w:r>
        <w:t xml:space="preserve">Vietnam — a lower-middle-income transitional economy with three WBES waves spanning 2009, 2015, and 2023 — provides exactly this design. Vietnam's macroeconomic and trade profile underwent structural shifts during the observation window: GDP growth reached 7.09% in 2024, FDI inflows were US$20.17 billion (4.23% of GDP), and the export structure shifted toward machinery and electronics (45.8% of total trade value), displacing the historically dominant textiles cluster (World Bank, 2025c). The maturation of cross-border digital infrastructure during 2009–2023, particularly the post-2014 National Digital Transformation Programme (NDTP), provides the institutional backdrop against which Tier-1 website adoption shifts from a differentiating capability to a near-universal hygiene marker (49.8% adoption by 2023 vs 42.5% in 2009).</w:t>
      </w:r>
    </w:p>
    <w:p>
      <w:pPr>
        <w:pStyle w:val="BodyText"/>
      </w:pPr>
      <w:r>
        <w:t xml:space="preserve">This paper exploits the Vietnam three-wave WBES design to test whether the inverted-U I–P relationship holds within a single transitional economy as its institutional and digital environments mature, and whether the moderating roles of technological capability (TCI) and foundational digital adoption (DAI) shift across waves in patterns consistent with stage-contingent capability deployment.</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w:t>
      </w:r>
      <w:r>
        <w:t xml:space="preserve"> </w:t>
      </w:r>
      <m:oMath>
        <m:r>
          <m:t>β</m:t>
        </m:r>
      </m:oMath>
      <w:r>
        <w:t xml:space="preserve"> </w:t>
      </w:r>
      <w:r>
        <w:t xml:space="preserve">= -0.200 (p = .660), and only ~1.0 % of pooled firms occupy the</w:t>
      </w:r>
      <w:r>
        <w:t xml:space="preserve"> </w:t>
      </w:r>
      <m:oMath>
        <m:r>
          <m:rPr>
            <m:sty m:val="p"/>
          </m:rPr>
          <m:t>±</m:t>
        </m:r>
      </m:oMath>
      <w:r>
        <w:t xml:space="preserve">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lifts performance through greater market reach, diversification, and learning from external environments (Vernon, 1979; Hitt et al., 1997). Deeper international involvement raises coordination costs, increases distance-related transaction costs, and amplifies exposure to host-country uncertainty; once these costs exceed the benefits, performance can plateau or decline (Lu &amp; Beamish, 2004; Contractor et al., 2007).</w:t>
      </w:r>
    </w:p>
    <w:p>
      <w:pPr>
        <w:pStyle w:val="BodyText"/>
      </w:pPr>
      <w:r>
        <w:t xml:space="preserve">In the Vietnamese context — a lower-middle-income transitional economy with an emerging set of cross-border institutions — these mechanisms are likely sharper than in a mature economy. Several country-level frictions reinforce this curvilinearity: legal infrastructure for cross-border transactions remains under-developed (Khanna &amp; Palepu, 1997, 2010); access to trade finance, logistics, and currency-hedging instruments is uneven across firm size and sector; and digital infrastructure for export coordination is rapidly maturing but not yet uniform (Wu et al., 2022; Author Citation, 2025 — ICBEF). These conditions imply that the productivity-relevant turning point in the I–P curve may occur at lower export intensity than in advanced economies where coordination support is denser.</w:t>
      </w:r>
    </w:p>
    <w:p>
      <w:pPr>
        <w:pStyle w:val="BodyText"/>
      </w:pPr>
      <w:r>
        <w:t xml:space="preserve">Three recent meta-analyses underline that the average I–P effect is small, positive, and substantially heterogeneous across institutional contexts (Bausch &amp; Krist, 2007; Kirca et al., 2012; Marano et al., 2016). The dominant theoretical reading consolidates around a</w:t>
      </w:r>
      <w:r>
        <w:t xml:space="preserve"> </w:t>
      </w:r>
      <w:r>
        <w:rPr>
          <w:iCs/>
          <w:i/>
        </w:rPr>
        <w:t xml:space="preserve">coordination-cost inverted-U</w:t>
      </w:r>
      <w:r>
        <w:t xml:space="preserve"> </w:t>
      </w:r>
      <w:r>
        <w:t xml:space="preserve">in which marginal coordination cost rises faster than marginal scale benefit beyond a threshold (Hitt et al., 1997). The recent meta-analytic work of Pisani, Garcia-Bernardo, &amp; Heemskerk (2020, SMJ) and Wu, Fan, &amp; Chen (2022, MIR) emphasises that institutional context moderates I–P effect size more powerfully than firm-level capability variables, motivating within-country longitudinal designs that hold institutional context constant while varying time. Vietnam's three-wave WBES panel provides exactly this design.</w:t>
      </w:r>
    </w:p>
    <w:p>
      <w:pPr>
        <w:pStyle w:val="BlockText"/>
      </w:pPr>
      <w:r>
        <w:rPr>
          <w:bCs/>
          <w:b/>
        </w:rPr>
        <w:t xml:space="preserve">H1.</w:t>
      </w:r>
      <w:r>
        <w:t xml:space="preserve"> </w:t>
      </w:r>
      <w:r>
        <w:t xml:space="preserve">The relationship between export intensity and firm productivity in Vietnamese firms is inverted-U-shaped, with positive linear and negative quadratic FSTS terms.</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sSub>
          <m:e>
            <m:r>
              <m:rPr>
                <m:nor/>
                <m:sty m:val="p"/>
              </m:rPr>
              <m:t>TCI</m:t>
            </m:r>
          </m:e>
          <m:sub>
            <m:r>
              <m:t>z</m:t>
            </m:r>
          </m:sub>
        </m:sSub>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nor/>
                <m:sty m:val="p"/>
              </m:rPr>
              <m:t>TCI</m:t>
            </m:r>
          </m:e>
          <m:sub>
            <m:r>
              <m:t>f</m:t>
            </m:r>
          </m:sub>
        </m:sSub>
      </m:oMath>
      <w:r>
        <w:t xml:space="preserve">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w:t>
      </w:r>
      <m:oMath>
        <m:sSub>
          <m:e>
            <m:r>
              <m:rPr>
                <m:nor/>
                <m:sty m:val="p"/>
              </m:rPr>
              <m:t>TCI</m:t>
            </m:r>
          </m:e>
          <m:sub>
            <m:r>
              <m:t>z</m:t>
            </m:r>
          </m:sub>
        </m:sSub>
      </m:oMath>
      <w:r>
        <w:t xml:space="preserve">),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Foundational digital adoption, measured at the Tier-1 layer (website presence; WBES c22b), reduces communication, transaction, and information-search costs for cross-border activity (Bharadwaj et al., 2013; Verhoef et al., 2021). In transitional economies, where alternative cross-border interfaces remain costly, even a basic corporate website can lower the marginal cost of foreign-market interaction.</w:t>
      </w:r>
    </w:p>
    <w:p>
      <w:pPr>
        <w:pStyle w:val="BodyText"/>
      </w:pPr>
      <w:r>
        <w:t xml:space="preserve">However, the productivity payoff to Tier-1 digital adoption is bounded by two structural conditions: (a) the surrounding ecosystem of payment, logistics, and process-integration infrastructure (Tier-2–3 layers) must be sufficiently mature to convert the website-mediated interface into productivity gain (Banalieva &amp; Dhanaraj, 2019); and (b) the indicator must retain cross-firm discriminatory power — once website ownership diffuses toward universality, the c22b indicator loses informational content and becomes a hygiene marker rather than a capability signal. Both conditions are time-varying in transitional economies; both are testable in the three-wave WBES Vietnam design.</w:t>
      </w:r>
    </w:p>
    <w:p>
      <w:pPr>
        <w:pStyle w:val="BlockText"/>
      </w:pPr>
      <w:r>
        <w:rPr>
          <w:bCs/>
          <w:b/>
        </w:rPr>
        <w:t xml:space="preserve">H3.</w:t>
      </w:r>
      <w:r>
        <w:t xml:space="preserve"> </w:t>
      </w:r>
      <w:r>
        <w:t xml:space="preserve">Tier-1 website-based digital adoption (</w:t>
      </w:r>
      <m:oMath>
        <m:sSub>
          <m:e>
            <m:r>
              <m:rPr>
                <m:nor/>
                <m:sty m:val="p"/>
              </m:rPr>
              <m:t>DAI</m:t>
            </m:r>
          </m:e>
          <m:sub>
            <m:r>
              <m:t>z</m:t>
            </m:r>
          </m:sub>
        </m:sSub>
      </m:oMath>
      <w:r>
        <w:t xml:space="preserve">) has a positive direct association with firm productivity in Vietnamese firms, with magnitude expected to attenuate over waves as adoption diffuses (per Rogers, 1962, technology saturation).</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Instead, we frame an</w:t>
      </w:r>
      <w:r>
        <w:t xml:space="preserve"> </w:t>
      </w:r>
      <w:r>
        <w:rPr>
          <w:bCs/>
          <w:b/>
        </w:rPr>
        <w:t xml:space="preserve">exploratory probe</w:t>
      </w:r>
      <w:r>
        <w:t xml:space="preserve"> </w:t>
      </w:r>
      <w:r>
        <w:t xml:space="preserve">of whether the Tier-1 website indicator interacts with export intensity differently across waves, read as a within-WBES sensitivity check rather than a hypothesis test of dynamic digital capability.</w:t>
      </w:r>
    </w:p>
    <w:p>
      <w:pPr>
        <w:pStyle w:val="BodyText"/>
      </w:pPr>
      <w:r>
        <w:t xml:space="preserve">The exploratory claim is that even baseline digital presence may be stage-contingent in scope. At low export intensity, foundational digital tools mainly perform a market-access role with broadly distributed positive marginal returns. At higher export intensity, the same Tier-1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an empirical question (Banalieva &amp; Dhanaraj, 2019; Petricevic &amp; Teece, 2019).</w:t>
      </w:r>
    </w:p>
    <w:p>
      <w:pPr>
        <w:pStyle w:val="BodyText"/>
      </w:pPr>
      <w:r>
        <w:rPr>
          <w:bCs/>
          <w:b/>
        </w:rPr>
        <w:t xml:space="preserve">Two parallel mechanisms behind later-wave DAI compression.</w:t>
      </w:r>
      <w:r>
        <w:t xml:space="preserve"> </w:t>
      </w:r>
      <w:r>
        <w:t xml:space="preserve">Any negative DAI × FSTS interaction observed in the later waves admits two complementary readings the present design cannot fully separate.</w:t>
      </w:r>
      <w:r>
        <w:t xml:space="preserve"> </w:t>
      </w:r>
      <w:r>
        <w:rPr>
          <w:iCs/>
          <w:i/>
        </w:rPr>
        <w:t xml:space="preserve">Mechanism A (stage-dependent coordination complexity):</w:t>
      </w:r>
      <w:r>
        <w:t xml:space="preserve"> </w:t>
      </w:r>
      <w:r>
        <w:t xml:space="preserve">at high export intensity, the marginal coordination demand exceeds what a single Tier-1 website can support; the binding friction is the absence of deeper Tier 2–3 process integration.</w:t>
      </w:r>
      <w:r>
        <w:t xml:space="preserve"> </w:t>
      </w:r>
      <w:r>
        <w:rPr>
          <w:iCs/>
          <w:i/>
        </w:rPr>
        <w:t xml:space="preserve">Mechanism B (construct obsolescence under population diffusion):</w:t>
      </w:r>
      <w:r>
        <w:t xml:space="preserve"> </w:t>
      </w:r>
      <w:r>
        <w:t xml:space="preserve">as website ownership diffuses toward near-universal (49.8 % by 2023 vs 42.5 % in 2009), c22b functions as an organisational hygiene marker rather than a differentiating capability signal. Mechanism A predicts compression</w:t>
      </w:r>
      <w:r>
        <w:t xml:space="preserve"> </w:t>
      </w:r>
      <w:r>
        <w:rPr>
          <w:iCs/>
          <w:i/>
        </w:rPr>
        <w:t xml:space="preserve">within</w:t>
      </w:r>
      <w:r>
        <w:t xml:space="preserve"> </w:t>
      </w:r>
      <w:r>
        <w:t xml:space="preserve">each wave conditional on export intensity; Mechanism B predicts compression</w:t>
      </w:r>
      <w:r>
        <w:t xml:space="preserve"> </w:t>
      </w:r>
      <w:r>
        <w:rPr>
          <w:iCs/>
          <w:i/>
        </w:rPr>
        <w:t xml:space="preserve">across</w:t>
      </w:r>
      <w:r>
        <w:t xml:space="preserve"> </w:t>
      </w:r>
      <w:r>
        <w:t xml:space="preserve">waves as the indicator loses cross-sectional information. Both readings are legitimate within the WBES Tier-1 instrument, and we treat any null or sign-shifting result on H4 as construct-tier obsolescence rather than as evidence against dynamic digital capability moderation.</w:t>
      </w:r>
    </w:p>
    <w:p>
      <w:pPr>
        <w:pStyle w:val="BodyText"/>
      </w:pPr>
      <w:r>
        <w:rPr>
          <w:bCs/>
          <w:b/>
        </w:rPr>
        <w:t xml:space="preserve">H4 (exploratory probe).</w:t>
      </w:r>
      <w:r>
        <w:t xml:space="preserve"> </w:t>
      </w:r>
      <w:r>
        <w:t xml:space="preserve">The productivity relevance of Tier-1 website presence (</w:t>
      </w:r>
      <m:oMath>
        <m:sSub>
          <m:e>
            <m:r>
              <m:rPr>
                <m:nor/>
                <m:sty m:val="p"/>
              </m:rPr>
              <m:t>DAI</m:t>
            </m:r>
          </m:e>
          <m:sub>
            <m:r>
              <m:t>z</m:t>
            </m:r>
          </m:sub>
        </m:sSub>
      </m:oMath>
      <w:r>
        <w:t xml:space="preserve">) varies across waves; any FSTS-curve moderation is wave-specific with strongest detectability in 2023.</w:t>
      </w:r>
      <w:r>
        <w:t xml:space="preserve"> </w:t>
      </w:r>
      <w:r>
        <w:rPr>
          <w:iCs/>
          <w:i/>
        </w:rPr>
        <w:t xml:space="preserve">This probe is reported descriptively; the available Tier-1 binary indicator cannot adjudicate broader digital-transformation claims.</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is placed at left; the dependent variable, firm performance, measured as ln(labour productivity) = ln(annual revenue PPP / permanent workers), is placed at right, following left-to-right causal flow convention. H1 (inverted-U nonlinearity:</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is grounded in the Uppsala model (Johanson &amp; Vahlne, 1977, 2009) and coordination-cost theory (Hitt et al., 1997). H2 specifies technological capability (</w:t>
      </w:r>
      <m:oMath>
        <m:sSub>
          <m:e>
            <m:r>
              <m:rPr>
                <m:nor/>
                <m:sty m:val="p"/>
              </m:rPr>
              <m:t>TCI</m:t>
            </m:r>
          </m:e>
          <m:sub>
            <m:r>
              <m:t>z</m:t>
            </m:r>
          </m:sub>
        </m:sSub>
      </m:oMath>
      <w:r>
        <w:t xml:space="preserve">, Resource-Based View: Barney, 1991) as a level-shifting direct effect and secondary moderator on the FSTS–performance curve; instrument: industry-level TCI mean (causal IV identification). H4 treats website-based digital adoption (</w:t>
      </w:r>
      <m:oMath>
        <m:sSub>
          <m:e>
            <m:r>
              <m:rPr>
                <m:nor/>
                <m:sty m:val="p"/>
              </m:rPr>
              <m:t>DAI</m:t>
            </m:r>
          </m:e>
          <m:sub>
            <m:r>
              <m:t>z</m:t>
            </m:r>
          </m:sub>
        </m:sSub>
      </m:oMath>
      <w:r>
        <w:t xml:space="preserve">,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w:t>
      </w:r>
      <w:r>
        <w:t xml:space="preserve"> </w:t>
      </w:r>
      <m:oMath>
        <m:r>
          <m:rPr>
            <m:sty m:val="p"/>
          </m:rPr>
          <m:t>≈</m:t>
        </m:r>
      </m:oMath>
      <w:r>
        <w:t xml:space="preserve"> </w:t>
      </w:r>
      <w:r>
        <w:t xml:space="preserve">−0.09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so that linear and quadratic terms can be entered jointly to test for nonlinearity. The analysis uses two distinct capability constructs. The Technological Capability Index (</w:t>
      </w:r>
      <m:oMath>
        <m:sSub>
          <m:e>
            <m:r>
              <m:rPr>
                <m:nor/>
                <m:sty m:val="p"/>
              </m:rPr>
              <m:t>TCI</m:t>
            </m:r>
          </m:e>
          <m:sub>
            <m:r>
              <m:t>z</m:t>
            </m:r>
          </m:sub>
        </m:sSub>
      </m:oMath>
      <w:r>
        <w:t xml:space="preserve">)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sSub>
          <m:e>
            <m:r>
              <m:rPr>
                <m:nor/>
                <m:sty m:val="p"/>
              </m:rPr>
              <m:t>DAI</m:t>
            </m:r>
          </m:e>
          <m:sub>
            <m:r>
              <m:t>z</m:t>
            </m:r>
          </m:sub>
        </m:sSub>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The primary Technological Capability Index (</w:t>
      </w:r>
      <m:oMath>
        <m:sSub>
          <m:e>
            <m:r>
              <m:rPr>
                <m:nor/>
                <m:sty m:val="p"/>
              </m:rPr>
              <m:t>TCI</m:t>
            </m:r>
          </m:e>
          <m:sub>
            <m:r>
              <m:t>z</m:t>
            </m:r>
          </m:sub>
        </m:sSub>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sSub>
          <m:e>
            <m:r>
              <m:rPr>
                <m:nor/>
                <m:sty m:val="p"/>
              </m:rPr>
              <m:t>DAI</m:t>
            </m:r>
          </m:e>
          <m:sub>
            <m:r>
              <m:t>z</m:t>
            </m:r>
          </m:sub>
        </m:sSub>
      </m:oMath>
      <w:r>
        <w:t xml:space="preserve">)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sSub>
          <m:e>
            <m:r>
              <m:rPr>
                <m:nor/>
                <m:sty m:val="p"/>
              </m:rPr>
              <m:t>DAI</m:t>
            </m:r>
          </m:e>
          <m:sub>
            <m:r>
              <m:t>z</m:t>
            </m:r>
          </m:sub>
        </m:sSub>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nor/>
                <m:sty m:val="p"/>
              </m:rPr>
              <m:t>TCI</m:t>
            </m:r>
          </m:e>
          <m:sub>
            <m:r>
              <m:t>f</m:t>
            </m:r>
          </m:sub>
        </m:sSub>
      </m:oMath>
      <w:r>
        <w:t xml:space="preserve">ull adds h1 (introduced new or significantly improved product) and h8 (R&amp;D expenditure</w:t>
      </w:r>
      <w:r>
        <w:t xml:space="preserve"> </w:t>
      </w:r>
      <w:r>
        <w:t xml:space="preserve">indicator) to the TCI items in 2015 and 2023, where h1 and h8 are present.</w:t>
      </w:r>
      <w:r>
        <w:t xml:space="preserve"> </w:t>
      </w:r>
      <m:oMath>
        <m:sSub>
          <m:e>
            <m:r>
              <m:rPr>
                <m:nor/>
                <m:sty m:val="p"/>
              </m:rPr>
              <m:t>DAI</m:t>
            </m:r>
          </m:e>
          <m:sub>
            <m:r>
              <m:t>r</m:t>
            </m:r>
          </m:sub>
        </m:sSub>
      </m:oMath>
      <w:r>
        <w:t xml:space="preserve">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nor/>
                <m:sty m:val="p"/>
              </m:rPr>
              <m:t>DAI</m:t>
            </m:r>
          </m:e>
          <m:sub>
            <m:r>
              <m:t>r</m:t>
            </m:r>
          </m:sub>
        </m:sSub>
      </m:oMath>
      <w:r>
        <w:t xml:space="preserve">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w:t>
      </w:r>
      <w:r>
        <w:t xml:space="preserve"> </w:t>
      </w:r>
      <m:oMath>
        <m:sSub>
          <m:e>
            <m:r>
              <m:rPr>
                <m:nor/>
                <m:sty m:val="p"/>
              </m:rPr>
              <m:t>DAI</m:t>
            </m:r>
          </m:e>
          <m:sub>
            <m:r>
              <m:t>z</m:t>
            </m:r>
          </m:sub>
        </m:sSub>
      </m:oMath>
      <w:r>
        <w:t xml:space="preserve"> </w:t>
      </w:r>
      <w:r>
        <w:t xml:space="preserve">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best read as construct-tier obsolescence: Tier-1 website presence has become a minimum-threshold credential in Vietnam's maturing digital environment and no longer differentiates firms' cross-border coordination capacity at high export intensity. The</w:t>
      </w:r>
      <w:r>
        <w:t xml:space="preserve"> </w:t>
      </w:r>
      <m:oMath>
        <m:sSub>
          <m:e>
            <m:r>
              <m:rPr>
                <m:nor/>
                <m:sty m:val="p"/>
              </m:rPr>
              <m:t>DAI</m:t>
            </m:r>
          </m:e>
          <m:sub>
            <m:r>
              <m:t>r</m:t>
            </m:r>
          </m:sub>
        </m:sSub>
      </m:oMath>
      <w:r>
        <w:t xml:space="preserve">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w:t>
      </w:r>
      <w:r>
        <w:t xml:space="preserve"> </w:t>
      </w:r>
      <m:oMath>
        <m:sSub>
          <m:e>
            <m:r>
              <m:rPr>
                <m:nor/>
                <m:sty m:val="p"/>
              </m:rPr>
              <m:t>DAI</m:t>
            </m:r>
          </m:e>
          <m:sub>
            <m:r>
              <m:t>z</m:t>
            </m:r>
          </m:sub>
        </m:sSub>
      </m:oMath>
      <w:r>
        <w:t xml:space="preserve"> </w:t>
      </w:r>
      <w:r>
        <w:t xml:space="preserve">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w:t>
      </w:r>
      <w:r>
        <w:t xml:space="preserve"> </w:t>
      </w:r>
      <m:oMath>
        <m:sSub>
          <m:e>
            <m:r>
              <m:rPr>
                <m:nor/>
                <m:sty m:val="p"/>
              </m:rPr>
              <m:t>DAI</m:t>
            </m:r>
          </m:e>
          <m:sub>
            <m:r>
              <m:t>r</m:t>
            </m:r>
          </m:sub>
        </m:sSub>
      </m:oMath>
      <w:r>
        <w:t xml:space="preserve">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within each wave independently so that coefficients are comparable in magnitude across waves. Turning-point formula: TP* = −</w:t>
      </w:r>
      <m:oMath>
        <m:sSub>
          <m:e>
            <m:r>
              <m:t>β</m:t>
            </m:r>
          </m:e>
          <m:sub>
            <m:r>
              <m:t>1</m:t>
            </m:r>
          </m:sub>
        </m:sSub>
      </m:oMath>
      <w:r>
        <w:t xml:space="preserve"> </w:t>
      </w:r>
      <w:r>
        <w:t xml:space="preserve">/ (2</w:t>
      </w:r>
      <m:oMath>
        <m:sSub>
          <m:e>
            <m:r>
              <m:t>β</m:t>
            </m:r>
          </m:e>
          <m:sub>
            <m:r>
              <m:t>2</m:t>
            </m:r>
          </m:sub>
        </m:sSub>
      </m:oMath>
      <w:r>
        <w:t xml:space="preserve">);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w:t>
      </w:r>
      <w:r>
        <w:t xml:space="preserve"> </w:t>
      </w:r>
      <m:oMath>
        <m:sSub>
          <m:e>
            <m:r>
              <m:rPr>
                <m:nor/>
                <m:sty m:val="p"/>
              </m:rPr>
              <m:t>TCI</m:t>
            </m:r>
          </m:e>
          <m:sub>
            <m:r>
              <m:t>z</m:t>
            </m:r>
          </m:sub>
        </m:sSub>
      </m:oMath>
      <w:r>
        <w:t xml:space="preserve">,</w:t>
      </w:r>
      <w:r>
        <w:t xml:space="preserve"> </w:t>
      </w:r>
      <m:oMath>
        <m:sSub>
          <m:e>
            <m:r>
              <m:rPr>
                <m:nor/>
                <m:sty m:val="p"/>
              </m:rPr>
              <m:t>DAI</m:t>
            </m:r>
          </m:e>
          <m:sub>
            <m:r>
              <m:t>z</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w:t>
      </w:r>
      <w:r>
        <w:t xml:space="preserve"> </w:t>
      </w:r>
      <m:oMath>
        <m:sSub>
          <m:e>
            <m:r>
              <m:rPr>
                <m:nor/>
                <m:sty m:val="p"/>
              </m:rPr>
              <m:t>FSTS</m:t>
            </m:r>
          </m:e>
          <m:sub>
            <m:r>
              <m:t>c</m:t>
            </m:r>
          </m:sub>
        </m:sSub>
      </m:oMath>
      <w:r>
        <w:t xml:space="preserve">. A nonlinear model adds the quadratic term</w:t>
      </w:r>
      <w:r>
        <w:t xml:space="preserve"> </w:t>
      </w:r>
      <m:oMath>
        <m:sSubSup>
          <m:e>
            <m:r>
              <m:rPr>
                <m:nor/>
                <m:sty m:val="p"/>
              </m:rPr>
              <m:t>FSTS</m:t>
            </m:r>
          </m:e>
          <m:sub>
            <m:r>
              <m:t>c</m:t>
            </m:r>
          </m:sub>
          <m:sup>
            <m:r>
              <m:t>2</m:t>
            </m:r>
          </m:sup>
        </m:sSubSup>
      </m:oMath>
      <w:r>
        <w:t xml:space="preserve"> </w:t>
      </w:r>
      <w:r>
        <w:t xml:space="preserve">to test for curvature. Additional models introduce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separately, first in specifications that allow interaction terms with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m:oMath>
        <m:sSub>
          <m:e>
            <m:r>
              <m:rPr>
                <m:nor/>
                <m:sty m:val="p"/>
              </m:rPr>
              <m:t>FSTS</m:t>
            </m:r>
          </m:e>
          <m:sub>
            <m:r>
              <m:t>c</m:t>
            </m:r>
          </m:sub>
        </m:sSub>
      </m:oMath>
      <w:r>
        <w:t xml:space="preserve">_it the within-wave mean-centred export intensity, and</w:t>
      </w:r>
      <w:r>
        <w:t xml:space="preserve"> </w:t>
      </w:r>
      <w:r>
        <w:rPr>
          <w:bCs/>
          <w:b/>
        </w:rPr>
        <w:t xml:space="preserve">X</w:t>
      </w:r>
      <w:r>
        <w:t xml:space="preserve">_it the vector of controls (lnEmp, FirmAge, ForeignOwned); δ_s denotes sector fixed effects and</w:t>
      </w:r>
      <w:r>
        <w:t xml:space="preserve"> </w:t>
      </w:r>
      <m:oMath>
        <m:r>
          <m:t>λ</m:t>
        </m:r>
      </m:oMath>
      <w:r>
        <w:t xml:space="preserve">_t wave fixed effects (pooled specifications only):</w:t>
      </w:r>
    </w:p>
    <w:p>
      <w:pPr>
        <w:pStyle w:val="BodyText"/>
      </w:pPr>
      <w:r>
        <w:rPr>
          <w:bCs/>
          <w:b/>
        </w:rPr>
        <w:t xml:space="preserve">M0, Baseline controls:</w:t>
      </w:r>
      <w:r>
        <w:t xml:space="preserve"> </w:t>
      </w:r>
      <w:r>
        <w:t xml:space="preserve">lnLP_it =</w:t>
      </w:r>
      <w:r>
        <w:t xml:space="preserve"> </w:t>
      </w:r>
      <m:oMath>
        <m:r>
          <m:t>α</m:t>
        </m:r>
      </m:oMath>
      <w:r>
        <w:t xml:space="preserve"> </w:t>
      </w:r>
      <w:r>
        <w:t xml:space="preserve">+</w:t>
      </w:r>
      <w:r>
        <w:t xml:space="preserve"> </w:t>
      </w:r>
      <m:oMath>
        <m:r>
          <m:t>γ</m:t>
        </m:r>
      </m:oMath>
      <w:r>
        <w:t xml:space="preserve">₁ lnEmp_it +</w:t>
      </w:r>
      <w:r>
        <w:t xml:space="preserve"> </w:t>
      </w:r>
      <m:oMath>
        <m:r>
          <m:t>γ</m:t>
        </m:r>
      </m:oMath>
      <w:r>
        <w:t xml:space="preserve">₂ FirmAge_it +</w:t>
      </w:r>
      <w:r>
        <w:t xml:space="preserve"> </w:t>
      </w:r>
      <m:oMath>
        <m:r>
          <m:t>γ</m:t>
        </m:r>
      </m:oMath>
      <w:r>
        <w:t xml:space="preserve">₃ ForeignOwned_it + δ_s + [</w:t>
      </w:r>
      <m:oMath>
        <m:r>
          <m:t>λ</m:t>
        </m:r>
      </m:oMath>
      <w:r>
        <w:t xml:space="preserve">_t] +</w:t>
      </w:r>
      <w:r>
        <w:t xml:space="preserve"> </w:t>
      </w:r>
      <m:oMath>
        <m:r>
          <m:t>ϵ</m:t>
        </m:r>
      </m:oMath>
      <w:r>
        <w:t xml:space="preserve">_it</w:t>
      </w:r>
    </w:p>
    <w:p>
      <w:pPr>
        <w:pStyle w:val="BodyText"/>
      </w:pPr>
      <w:r>
        <w:rPr>
          <w:bCs/>
          <w:b/>
        </w:rPr>
        <w:t xml:space="preserve">M1, Linear internationalisation: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rPr>
          <w:bCs/>
          <w:b/>
        </w:rPr>
        <w:t xml:space="preserve">M2, Quadratic internationalisation (tests H1 inverted-U):</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t xml:space="preserve">H1 requires</w:t>
      </w:r>
      <w:r>
        <w:t xml:space="preserve"> </w:t>
      </w:r>
      <m:oMath>
        <m:sSub>
          <m:e>
            <m:r>
              <m:t>β</m:t>
            </m:r>
          </m:e>
          <m:sub>
            <m:r>
              <m:t>1</m:t>
            </m:r>
          </m:sub>
        </m:sSub>
      </m:oMath>
      <w:r>
        <w:t xml:space="preserve"> </w:t>
      </w:r>
      <w:r>
        <w:t xml:space="preserve">&gt; 0 and</w:t>
      </w:r>
      <w:r>
        <w:t xml:space="preserve"> </w:t>
      </w:r>
      <m:oMath>
        <m:sSub>
          <m:e>
            <m:r>
              <m:t>β</m:t>
            </m:r>
          </m:e>
          <m:sub>
            <m:r>
              <m:t>2</m:t>
            </m:r>
          </m:sub>
        </m:sSub>
      </m:oMath>
      <w:r>
        <w:t xml:space="preserve"> </w:t>
      </w:r>
      <w:r>
        <w:t xml:space="preserve">&lt; 0; the implied turning point is TP* = −</w:t>
      </w:r>
      <m:oMath>
        <m:sSub>
          <m:e>
            <m:r>
              <m:t>β</m:t>
            </m:r>
          </m:e>
          <m:sub>
            <m:r>
              <m:t>1</m:t>
            </m:r>
          </m:sub>
        </m:sSub>
      </m:oMath>
      <w:r>
        <w:t xml:space="preserve"> </w:t>
      </w:r>
      <w:r>
        <w:t xml:space="preserve">/ (2</w:t>
      </w:r>
      <m:oMath>
        <m:sSub>
          <m:e>
            <m:r>
              <m:t>β</m:t>
            </m:r>
          </m:e>
          <m:sub>
            <m:r>
              <m:t>2</m:t>
            </m:r>
          </m:sub>
        </m:sSub>
      </m:oMath>
      <w:r>
        <w:t xml:space="preserve">), confirmed by the Lind–Mehlum (2010) utest.</w:t>
      </w:r>
    </w:p>
    <w:p>
      <w:pPr>
        <w:pStyle w:val="BodyText"/>
      </w:pPr>
      <w:r>
        <w:rPr>
          <w:bCs/>
          <w:b/>
        </w:rPr>
        <w:t xml:space="preserve">M3, TCI moderation (tests H2):</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TCI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M4, DAI moderation (exploratory H4):</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M5, TCI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M6, DAI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M7, Dual-direct, no interactions:</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M8, Full model (dual-direct + DAI moderation):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sSub>
          <m:e>
            <m:r>
              <m:t>β</m:t>
            </m:r>
          </m:e>
          <m:sub>
            <m:r>
              <m:t>5</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6</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t xml:space="preserve">All models are estimated by OLS with HC1 heteroscedasticity-consistent standard errors. Wave fixed effects (</w:t>
      </w:r>
      <m:oMath>
        <m:r>
          <m:t>λ</m:t>
        </m:r>
      </m:oMath>
      <w:r>
        <w:t xml:space="preserve">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w:t>
      </w:r>
      <w:r>
        <w:t xml:space="preserve"> </w:t>
      </w:r>
      <m:oMath>
        <m:r>
          <m:rPr>
            <m:sty m:val="p"/>
          </m:rPr>
          <m:t>×</m:t>
        </m:r>
      </m:oMath>
      <w:r>
        <w:t xml:space="preserve"> </w:t>
      </w:r>
      <w:r>
        <w:t xml:space="preserve">region</w:t>
      </w:r>
      <w:r>
        <w:t xml:space="preserve"> </w:t>
      </w:r>
      <m:oMath>
        <m:r>
          <m:rPr>
            <m:sty m:val="p"/>
          </m:rPr>
          <m:t>×</m:t>
        </m:r>
      </m:oMath>
      <w:r>
        <w:t xml:space="preserve"> </w:t>
      </w:r>
      <w:r>
        <w:t xml:space="preserve">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w:t>
      </w:r>
      <w:r>
        <w:t xml:space="preserve"> </w:t>
      </w:r>
      <m:oMath>
        <m:sSup>
          <m:e>
            <m:r>
              <m:t>R</m:t>
            </m:r>
          </m:e>
          <m:sup>
            <m:r>
              <m:t>2</m:t>
            </m:r>
          </m:sup>
        </m:sSup>
      </m:oMath>
      <w:r>
        <w:t xml:space="preserve">_max = 1.3</w:t>
      </w:r>
      <w:r>
        <w:t xml:space="preserve"> </w:t>
      </w:r>
      <m:oMath>
        <m:r>
          <m:rPr>
            <m:sty m:val="p"/>
          </m:rPr>
          <m:t>×</m:t>
        </m:r>
      </m:oMath>
      <w:r>
        <w:t xml:space="preserve"> </w:t>
      </w:r>
      <m:oMath>
        <m:sSup>
          <m:e>
            <m:r>
              <m:t>R</m:t>
            </m:r>
          </m:e>
          <m:sup>
            <m:r>
              <m:t>2</m:t>
            </m:r>
          </m:sup>
        </m:sSup>
      </m:oMath>
      <w:r>
        <w:t xml:space="preserve">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46"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1" w:name="X0cdd773083ddb6504e3d3ab10ff1c76267ec612"/>
    <w:p>
      <w:pPr>
        <w:pStyle w:val="Heading3"/>
      </w:pPr>
      <w:r>
        <w:t xml:space="preserve">4.1 Wave-specific findings</w:t>
      </w:r>
    </w:p>
    <w:p>
      <w:pPr>
        <w:pStyle w:val="FirstParagraph"/>
      </w:pPr>
      <w:r>
        <w:rPr>
          <w:bCs/>
          <w:b/>
        </w:rPr>
        <w:t xml:space="preserve">2009 wave.</w:t>
      </w:r>
      <w:r>
        <w:t xml:space="preserve"> </w:t>
      </w:r>
      <w:r>
        <w:t xml:space="preserve">M2 yields an inverted-U (</w:t>
      </w:r>
      <m:oMath>
        <m:sSub>
          <m:e>
            <m:r>
              <m:rPr>
                <m:nor/>
                <m:sty m:val="p"/>
              </m:rPr>
              <m:t>FSTS</m:t>
            </m:r>
          </m:e>
          <m:sub>
            <m:r>
              <m:t>c</m:t>
            </m:r>
          </m:sub>
        </m:sSub>
      </m:oMath>
      <w:r>
        <w:t xml:space="preserve"> </w:t>
      </w:r>
      <m:oMath>
        <m:r>
          <m:t>β</m:t>
        </m:r>
      </m:oMath>
      <w:r>
        <w:t xml:space="preserve"> </w:t>
      </w:r>
      <w:r>
        <w:t xml:space="preserve">= +1.045, p = .015;</w:t>
      </w:r>
      <w:r>
        <w:t xml:space="preserve"> </w:t>
      </w:r>
      <m:oMath>
        <m:sSubSup>
          <m:e>
            <m:r>
              <m:rPr>
                <m:nor/>
                <m:sty m:val="p"/>
              </m:rPr>
              <m:t>FSTS</m:t>
            </m:r>
          </m:e>
          <m:sub>
            <m:r>
              <m:t>c</m:t>
            </m:r>
          </m:sub>
          <m:sup>
            <m:r>
              <m:t>2</m:t>
            </m:r>
          </m:sup>
        </m:sSubSup>
      </m:oMath>
      <w:r>
        <w:t xml:space="preserve"> </w:t>
      </w:r>
      <m:oMath>
        <m:r>
          <m:t>β</m:t>
        </m:r>
      </m:oMath>
      <w:r>
        <w:t xml:space="preserve"> </w:t>
      </w:r>
      <w:r>
        <w:t xml:space="preserve">= −1.774, p = .009; Lind–Mehlum p = .006). Both capability dimensions are positive direct level-shifters (M7</w:t>
      </w:r>
      <w:r>
        <w:t xml:space="preserve"> </w:t>
      </w:r>
      <m:oMath>
        <m:sSub>
          <m:e>
            <m:r>
              <m:rPr>
                <m:nor/>
                <m:sty m:val="p"/>
              </m:rPr>
              <m:t>TCI</m:t>
            </m:r>
          </m:e>
          <m:sub>
            <m:r>
              <m:t>z</m:t>
            </m:r>
          </m:sub>
        </m:sSub>
      </m:oMath>
      <w:r>
        <w:t xml:space="preserve"> </w:t>
      </w:r>
      <m:oMath>
        <m:r>
          <m:t>β</m:t>
        </m:r>
      </m:oMath>
      <w:r>
        <w:t xml:space="preserve"> </w:t>
      </w:r>
      <w:r>
        <w:t xml:space="preserve">= +0.215, p &lt; .001;</w:t>
      </w:r>
      <w:r>
        <w:t xml:space="preserve"> </w:t>
      </w:r>
      <m:oMath>
        <m:sSub>
          <m:e>
            <m:r>
              <m:rPr>
                <m:nor/>
                <m:sty m:val="p"/>
              </m:rPr>
              <m:t>DAI</m:t>
            </m:r>
          </m:e>
          <m:sub>
            <m:r>
              <m:t>z</m:t>
            </m:r>
          </m:sub>
        </m:sSub>
      </m:oMath>
      <w:r>
        <w:t xml:space="preserve"> </w:t>
      </w:r>
      <m:oMath>
        <m:r>
          <m:t>β</m:t>
        </m:r>
      </m:oMath>
      <w:r>
        <w:t xml:space="preserve"> </w:t>
      </w:r>
      <w:r>
        <w:t xml:space="preserve">= +0.175, p &lt; .001). TCI moderation is distinguishable (M3 joint p = .040); DAI moderation is not (M4 joint p = .825).</w:t>
      </w:r>
    </w:p>
    <w:p>
      <w:pPr>
        <w:pStyle w:val="BodyText"/>
      </w:pPr>
      <w:r>
        <w:rPr>
          <w:bCs/>
          <w:b/>
        </w:rPr>
        <w:t xml:space="preserve">2015 wave.</w:t>
      </w:r>
      <w:r>
        <w:t xml:space="preserve"> </w:t>
      </w:r>
      <w:r>
        <w:t xml:space="preserve">Curvature is sharpest (M2</w:t>
      </w:r>
      <w:r>
        <w:t xml:space="preserve"> </w:t>
      </w:r>
      <m:oMath>
        <m:sSub>
          <m:e>
            <m:r>
              <m:rPr>
                <m:nor/>
                <m:sty m:val="p"/>
              </m:rPr>
              <m:t>FSTS</m:t>
            </m:r>
          </m:e>
          <m:sub>
            <m:r>
              <m:t>c</m:t>
            </m:r>
          </m:sub>
        </m:sSub>
      </m:oMath>
      <w:r>
        <w:t xml:space="preserve"> </w:t>
      </w:r>
      <m:oMath>
        <m:r>
          <m:t>β</m:t>
        </m:r>
      </m:oMath>
      <w:r>
        <w:t xml:space="preserve"> </w:t>
      </w:r>
      <w:r>
        <w:t xml:space="preserve">= +1.159, p = .029;</w:t>
      </w:r>
      <w:r>
        <w:t xml:space="preserve"> </w:t>
      </w:r>
      <m:oMath>
        <m:sSubSup>
          <m:e>
            <m:r>
              <m:rPr>
                <m:nor/>
                <m:sty m:val="p"/>
              </m:rPr>
              <m:t>FSTS</m:t>
            </m:r>
          </m:e>
          <m:sub>
            <m:r>
              <m:t>c</m:t>
            </m:r>
          </m:sub>
          <m:sup>
            <m:r>
              <m:t>2</m:t>
            </m:r>
          </m:sup>
        </m:sSubSup>
      </m:oMath>
      <w:r>
        <w:t xml:space="preserve"> </w:t>
      </w:r>
      <m:oMath>
        <m:r>
          <m:t>β</m:t>
        </m:r>
      </m:oMath>
      <w:r>
        <w:t xml:space="preserve"> </w:t>
      </w:r>
      <w:r>
        <w:t xml:space="preserve">= −2.115, p = .004; Lind–Mehlum p = .009) but the digital channel compresses entirely (</w:t>
      </w:r>
      <m:oMath>
        <m:sSub>
          <m:e>
            <m:r>
              <m:rPr>
                <m:nor/>
                <m:sty m:val="p"/>
              </m:rPr>
              <m:t>DAI</m:t>
            </m:r>
          </m:e>
          <m:sub>
            <m:r>
              <m:t>z</m:t>
            </m:r>
          </m:sub>
        </m:sSub>
      </m:oMath>
      <w:r>
        <w:t xml:space="preserve"> </w:t>
      </w:r>
      <m:oMath>
        <m:r>
          <m:t>β</m:t>
        </m:r>
      </m:oMath>
      <w:r>
        <w:t xml:space="preserve"> </w:t>
      </w:r>
      <w:r>
        <w:t xml:space="preserve">= −0.044, p = .377). TCI direct retains ~60% of the 2009 magnitude (</w:t>
      </w:r>
      <m:oMath>
        <m:r>
          <m:t>β</m:t>
        </m:r>
      </m:oMath>
      <w:r>
        <w:t xml:space="preserve"> </w:t>
      </w:r>
      <w:r>
        <w:t xml:space="preserve">= +0.128, p = .010); TCI moderation null (M3 joint p = .713). The compressed DAI direct in 2015 is consistent with the Brynjolfsson et al. (2021) productivity J-curve account in which foundational digital investment precedes complementary organisational adjustments.</w:t>
      </w:r>
    </w:p>
    <w:p>
      <w:pPr>
        <w:pStyle w:val="BodyText"/>
      </w:pPr>
      <w:r>
        <w:rPr>
          <w:bCs/>
          <w:b/>
        </w:rPr>
        <w:t xml:space="preserve">2023 wave.</w:t>
      </w:r>
      <w:r>
        <w:t xml:space="preserve"> </w:t>
      </w:r>
      <w:r>
        <w:t xml:space="preserve">M2 again confirms inverted-U (</w:t>
      </w:r>
      <m:oMath>
        <m:sSub>
          <m:e>
            <m:r>
              <m:rPr>
                <m:nor/>
                <m:sty m:val="p"/>
              </m:rPr>
              <m:t>FSTS</m:t>
            </m:r>
          </m:e>
          <m:sub>
            <m:r>
              <m:t>c</m:t>
            </m:r>
          </m:sub>
        </m:sSub>
      </m:oMath>
      <w:r>
        <w:t xml:space="preserve"> </w:t>
      </w:r>
      <m:oMath>
        <m:r>
          <m:t>β</m:t>
        </m:r>
      </m:oMath>
      <w:r>
        <w:t xml:space="preserve"> </w:t>
      </w:r>
      <w:r>
        <w:t xml:space="preserve">= +0.962, p = .039;</w:t>
      </w:r>
      <w:r>
        <w:t xml:space="preserve"> </w:t>
      </w:r>
      <m:oMath>
        <m:sSubSup>
          <m:e>
            <m:r>
              <m:rPr>
                <m:nor/>
                <m:sty m:val="p"/>
              </m:rPr>
              <m:t>FSTS</m:t>
            </m:r>
          </m:e>
          <m:sub>
            <m:r>
              <m:t>c</m:t>
            </m:r>
          </m:sub>
          <m:sup>
            <m:r>
              <m:t>2</m:t>
            </m:r>
          </m:sup>
        </m:sSubSup>
      </m:oMath>
      <w:r>
        <w:t xml:space="preserve"> </w:t>
      </w:r>
      <m:oMath>
        <m:r>
          <m:t>β</m:t>
        </m:r>
      </m:oMath>
      <w:r>
        <w:t xml:space="preserve"> </w:t>
      </w:r>
      <w:r>
        <w:t xml:space="preserve">= −1.686, p = .008). Both capabilities are positive direct in M7 (</w:t>
      </w:r>
      <m:oMath>
        <m:sSub>
          <m:e>
            <m:r>
              <m:rPr>
                <m:nor/>
                <m:sty m:val="p"/>
              </m:rPr>
              <m:t>TCI</m:t>
            </m:r>
          </m:e>
          <m:sub>
            <m:r>
              <m:t>z</m:t>
            </m:r>
          </m:sub>
        </m:sSub>
      </m:oMath>
      <w:r>
        <w:t xml:space="preserve"> </w:t>
      </w:r>
      <m:oMath>
        <m:r>
          <m:t>β</m:t>
        </m:r>
      </m:oMath>
      <w:r>
        <w:t xml:space="preserve"> </w:t>
      </w:r>
      <w:r>
        <w:t xml:space="preserve">= +0.123, p = .006;</w:t>
      </w:r>
      <w:r>
        <w:t xml:space="preserve"> </w:t>
      </w:r>
      <m:oMath>
        <m:sSub>
          <m:e>
            <m:r>
              <m:rPr>
                <m:nor/>
                <m:sty m:val="p"/>
              </m:rPr>
              <m:t>DAI</m:t>
            </m:r>
          </m:e>
          <m:sub>
            <m:r>
              <m:t>z</m:t>
            </m:r>
          </m:sub>
        </m:sSub>
      </m:oMath>
      <w:r>
        <w:t xml:space="preserve"> </w:t>
      </w:r>
      <m:oMath>
        <m:r>
          <m:t>β</m:t>
        </m:r>
      </m:oMath>
      <w:r>
        <w:t xml:space="preserve"> </w:t>
      </w:r>
      <w:r>
        <w:t xml:space="preserve">= +0.095, p = .038). When DAI interactions are added in M8, the linear interaction is significant (</w:t>
      </w:r>
      <m:oMath>
        <m:sSub>
          <m:e>
            <m:r>
              <m:rPr>
                <m:nor/>
                <m:sty m:val="p"/>
              </m:rPr>
              <m:t>FSTS</m:t>
            </m:r>
          </m:e>
          <m:sub>
            <m:r>
              <m:t>c</m:t>
            </m:r>
          </m:sub>
        </m:sSub>
        <m:r>
          <m:rPr>
            <m:sty m:val="p"/>
          </m:rPr>
          <m:t>×</m:t>
        </m:r>
        <m:sSub>
          <m:e>
            <m:r>
              <m:rPr>
                <m:nor/>
                <m:sty m:val="p"/>
              </m:rPr>
              <m:t>DAI</m:t>
            </m:r>
          </m:e>
          <m:sub>
            <m:r>
              <m:t>z</m:t>
            </m:r>
          </m:sub>
        </m:sSub>
      </m:oMath>
      <w:r>
        <w:t xml:space="preserve"> </w:t>
      </w:r>
      <w:r>
        <w:t xml:space="preserve">= −0.912, p = .043) and the quadratic positive but borderline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+1.043, p = .099; joint M8 p = .062). The negative DAI × FSTS interaction has two complementary readings: (a) substantive conditional-binding at higher export intensity where website-only adoption is insufficient; and (b) proxy obsolescence — by 2023 website presence (Tier-1 c22b) has diffused to 49.8% (vs 42.5% in 2009), becoming a minimum-threshold credential rather than a capability differentiator. The 2SLS null for instrumented DAI (</w:t>
      </w:r>
      <m:oMath>
        <m:r>
          <m:t>β</m:t>
        </m:r>
      </m:oMath>
      <w:r>
        <w:t xml:space="preserve"> </w:t>
      </w:r>
      <w:r>
        <w:t xml:space="preserve">= +0.018, p = .942; Online Appendix Panel K) corroborates proxy obsolescence. A within-2023 sensitivity using</w:t>
      </w:r>
      <w:r>
        <w:t xml:space="preserve"> </w:t>
      </w:r>
      <m:oMath>
        <m:sSub>
          <m:e>
            <m:r>
              <m:rPr>
                <m:nor/>
                <m:sty m:val="p"/>
              </m:rPr>
              <m:t>DAI</m:t>
            </m:r>
          </m:e>
          <m:sub>
            <m:r>
              <m:rPr>
                <m:nor/>
                <m:sty m:val="p"/>
              </m:rPr>
              <m:t>rich</m:t>
            </m:r>
          </m:sub>
        </m:sSub>
      </m:oMath>
      <w:r>
        <w:t xml:space="preserve"> </w:t>
      </w:r>
      <w:r>
        <w:t xml:space="preserve">(Tier 1+2; Panel B) tests whether the sign shifts with transaction-enabling items.</w:t>
      </w:r>
    </w:p>
    <w:p>
      <w:pPr>
        <w:pStyle w:val="BodyText"/>
      </w:pPr>
      <w:r>
        <w:rPr>
          <w:bCs/>
          <w:b/>
        </w:rPr>
        <w:t xml:space="preserve">Cross-wave trajectories.</w:t>
      </w:r>
      <w:r>
        <w:t xml:space="preserve"> </w:t>
      </w:r>
      <w:r>
        <w:t xml:space="preserve">TCI direct is positive across all three waves with modest attenuation (</w:t>
      </w:r>
      <m:oMath>
        <m:r>
          <m:t>β</m:t>
        </m:r>
      </m:oMath>
      <w:r>
        <w:t xml:space="preserve"> </w:t>
      </w:r>
      <w:r>
        <w:t xml:space="preserve">= 0.215 → 0.128 → 0.123); moderation survives in 2009, 2023, and pooled. DAI direct follows a non-monotonic trajectory (positive 2009 → null 2015 → re-emerging 2023). Paternoster cross-wave z-tests (Online Appendix Panel I) confirm the 2009→2015 DAI drop (z = 3.353, p &lt; .001) and 2015→2023 recovery (z = −2.051, p = .040) are statistically distinguishable; FSTS curvature and FSTS × DAI differences across waves are not separable in the pooled saturated specification. The pattern is therefore wave-specific associations consistent with stage contingency, not a fully cross-wave-identified structural shift.</w:t>
      </w:r>
    </w:p>
    <w:p>
      <w:pPr>
        <w:pStyle w:val="BodyText"/>
      </w:pPr>
      <w:r>
        <w:rPr>
          <w:iCs/>
          <w:i/>
        </w:rPr>
        <w:t xml:space="preserve">Table 2: Analytic-sample summary statistics by wave (full version in Online Appendix Table OA-2).</w:t>
      </w:r>
    </w:p>
    <w:bookmarkEnd w:id="41"/>
    <w:bookmarkStart w:id="42" w:name="Xaa4851a9c1b3e08eeca0ab72ae930e2b05bff75"/>
    <w:p>
      <w:pPr>
        <w:pStyle w:val="Heading3"/>
      </w:pPr>
      <w:r>
        <w:t xml:space="preserve">4.2 Pooled findings</w:t>
      </w:r>
    </w:p>
    <w:p>
      <w:pPr>
        <w:pStyle w:val="FirstParagraph"/>
      </w:pPr>
      <w:r>
        <w:t xml:space="preserve">The pooled inverted-U is sharply identified. M2:</w:t>
      </w:r>
      <w:r>
        <w:t xml:space="preserve"> </w:t>
      </w:r>
      <m:oMath>
        <m:sSub>
          <m:e>
            <m:r>
              <m:rPr>
                <m:nor/>
                <m:sty m:val="p"/>
              </m:rPr>
              <m:t>FSTS</m:t>
            </m:r>
          </m:e>
          <m:sub>
            <m:r>
              <m:t>c</m:t>
            </m:r>
          </m:sub>
        </m:sSub>
      </m:oMath>
      <w:r>
        <w:t xml:space="preserve"> </w:t>
      </w:r>
      <m:oMath>
        <m:r>
          <m:t>β</m:t>
        </m:r>
      </m:oMath>
      <w:r>
        <w:t xml:space="preserve"> </w:t>
      </w:r>
      <w:r>
        <w:t xml:space="preserve">= +0.984 (p &lt; .001);</w:t>
      </w:r>
      <w:r>
        <w:t xml:space="preserve"> </w:t>
      </w:r>
      <m:oMath>
        <m:sSubSup>
          <m:e>
            <m:r>
              <m:rPr>
                <m:nor/>
                <m:sty m:val="p"/>
              </m:rPr>
              <m:t>FSTS</m:t>
            </m:r>
          </m:e>
          <m:sub>
            <m:r>
              <m:t>c</m:t>
            </m:r>
          </m:sub>
          <m:sup>
            <m:r>
              <m:t>2</m:t>
            </m:r>
          </m:sup>
        </m:sSubSup>
      </m:oMath>
      <w:r>
        <w:t xml:space="preserve"> </w:t>
      </w:r>
      <m:oMath>
        <m:r>
          <m:t>β</m:t>
        </m:r>
      </m:oMath>
      <w:r>
        <w:t xml:space="preserve"> </w:t>
      </w:r>
      <w:r>
        <w:t xml:space="preserve">= −1.909 (p &lt; .001); Lind–Mehlum p &lt; .001; turning point TP* = 39.7% FSTS. All four Haans, Pieters, and He (2016) conditions are met: (C1) positive ascending limb, (C2) negative concavity, (C3) TP* falls within [0%, 100%] observed range, (C4) opposite-sign marginal effects at the boundaries (slope ≈ +1.52 at FSTS = 0%; slope ≈ −2.30 at FSTS = 100%). The curvature persists in the full M8 specification (</w:t>
      </w:r>
      <m:oMath>
        <m:sSubSup>
          <m:e>
            <m:r>
              <m:rPr>
                <m:nor/>
                <m:sty m:val="p"/>
              </m:rPr>
              <m:t>FSTS</m:t>
            </m:r>
          </m:e>
          <m:sub>
            <m:r>
              <m:t>c</m:t>
            </m:r>
          </m:sub>
          <m:sup>
            <m:r>
              <m:t>2</m:t>
            </m:r>
          </m:sup>
        </m:sSubSup>
      </m:oMath>
      <w:r>
        <w:t xml:space="preserve"> </w:t>
      </w:r>
      <m:oMath>
        <m:r>
          <m:t>β</m:t>
        </m:r>
      </m:oMath>
      <w:r>
        <w:t xml:space="preserve"> </w:t>
      </w:r>
      <w:r>
        <w:t xml:space="preserve">= −1.650, p &lt; .001), supporting H1 and aligning with the meta-analytic evidence (Marano et al., 2016).</w:t>
      </w:r>
    </w:p>
    <w:p>
      <w:pPr>
        <w:pStyle w:val="BodyText"/>
      </w:pPr>
      <w:r>
        <w:t xml:space="preserve">Pooled capability effects:</w:t>
      </w:r>
      <w:r>
        <w:t xml:space="preserve"> </w:t>
      </w:r>
      <m:oMath>
        <m:sSub>
          <m:e>
            <m:r>
              <m:rPr>
                <m:nor/>
                <m:sty m:val="p"/>
              </m:rPr>
              <m:t>TCI</m:t>
            </m:r>
          </m:e>
          <m:sub>
            <m:r>
              <m:t>z</m:t>
            </m:r>
          </m:sub>
        </m:sSub>
      </m:oMath>
      <w:r>
        <w:t xml:space="preserve"> </w:t>
      </w:r>
      <w:r>
        <w:t xml:space="preserve">is positive and stable (</w:t>
      </w:r>
      <m:oMath>
        <m:r>
          <m:t>β</m:t>
        </m:r>
      </m:oMath>
      <w:r>
        <w:t xml:space="preserve"> </w:t>
      </w:r>
      <w:r>
        <w:t xml:space="preserve">= +0.179 in M7, +0.184 in M8; both p &lt; .001).</w:t>
      </w:r>
      <w:r>
        <w:t xml:space="preserve"> </w:t>
      </w:r>
      <m:oMath>
        <m:sSub>
          <m:e>
            <m:r>
              <m:rPr>
                <m:nor/>
                <m:sty m:val="p"/>
              </m:rPr>
              <m:t>DAI</m:t>
            </m:r>
          </m:e>
          <m:sub>
            <m:r>
              <m:t>z</m:t>
            </m:r>
          </m:sub>
        </m:sSub>
      </m:oMath>
      <w:r>
        <w:t xml:space="preserve"> </w:t>
      </w:r>
      <w:r>
        <w:t xml:space="preserve">is positive in M7 (</w:t>
      </w:r>
      <m:oMath>
        <m:r>
          <m:t>β</m:t>
        </m:r>
      </m:oMath>
      <w:r>
        <w:t xml:space="preserve"> </w:t>
      </w:r>
      <w:r>
        <w:t xml:space="preserve">= +0.078, p = .004) but becomes indistinguishable from zero in M8 (</w:t>
      </w:r>
      <m:oMath>
        <m:r>
          <m:t>β</m:t>
        </m:r>
      </m:oMath>
      <w:r>
        <w:t xml:space="preserve"> </w:t>
      </w:r>
      <w:r>
        <w:t xml:space="preserve">= +0.032, p = .537) once interactions enter. The pooled DAI interaction signal is marginal (</w:t>
      </w:r>
      <m:oMath>
        <m:sSub>
          <m:e>
            <m:r>
              <m:rPr>
                <m:nor/>
                <m:sty m:val="p"/>
              </m:rPr>
              <m:t>FSTS</m:t>
            </m:r>
          </m:e>
          <m:sub>
            <m:r>
              <m:t>c</m:t>
            </m:r>
          </m:sub>
        </m:sSub>
        <m:r>
          <m:rPr>
            <m:sty m:val="p"/>
          </m:rPr>
          <m:t>×</m:t>
        </m:r>
        <m:sSub>
          <m:e>
            <m:r>
              <m:rPr>
                <m:nor/>
                <m:sty m:val="p"/>
              </m:rPr>
              <m:t>DAI</m:t>
            </m:r>
          </m:e>
          <m:sub>
            <m:r>
              <m:t>z</m:t>
            </m:r>
          </m:sub>
        </m:sSub>
      </m:oMath>
      <w:r>
        <w:t xml:space="preserve"> </w:t>
      </w:r>
      <w:r>
        <w:t xml:space="preserve">= −0.448, p = .116; joint M8 p = .083); decomposition by wave shows it is concentrated in 2023 (joint p = .062) rather than uniformly distributed across the 2009–2023 window. Pooled estimates therefore understate the</w:t>
      </w:r>
      <w:r>
        <w:t xml:space="preserve"> </w:t>
      </w:r>
      <w:r>
        <w:rPr>
          <w:iCs/>
          <w:i/>
        </w:rPr>
        <w:t xml:space="preserve">timing</w:t>
      </w:r>
      <w:r>
        <w:t xml:space="preserve"> </w:t>
      </w:r>
      <w:r>
        <w:t xml:space="preserve">of the DAI moderation channel.</w:t>
      </w:r>
    </w:p>
    <w:bookmarkEnd w:id="42"/>
    <w:bookmarkStart w:id="43" w:name="X6c7a7fd9103ea7477107f66fc3db4b225072a34"/>
    <w:p>
      <w:pPr>
        <w:pStyle w:val="Heading3"/>
      </w:pPr>
      <w:r>
        <w:t xml:space="preserve">4.3 Interpretation of hypothesis tests</w:t>
      </w:r>
    </w:p>
    <w:p>
      <w:pPr>
        <w:pStyle w:val="FirstParagraph"/>
      </w:pPr>
      <w:r>
        <w:rPr>
          <w:bCs/>
          <w:b/>
        </w:rPr>
        <w:t xml:space="preserve">H1 (inverted-U)</w:t>
      </w:r>
      <w:r>
        <w:t xml:space="preserve"> </w:t>
      </w:r>
      <w:r>
        <w:t xml:space="preserve">is supported in all three waves and pooled (Lind–Mehlum p ≤ .013 in every wave; pooled turning-point band 39–46%; all Haans-et-al. conditions met).</w:t>
      </w:r>
      <w:r>
        <w:t xml:space="preserve"> </w:t>
      </w:r>
      <w:r>
        <w:rPr>
          <w:bCs/>
          <w:b/>
        </w:rPr>
        <w:t xml:space="preserve">H2 (TCI moderation)</w:t>
      </w:r>
      <w:r>
        <w:t xml:space="preserve"> </w:t>
      </w:r>
      <w:r>
        <w:t xml:space="preserve">is supported with positive direct level-shift in all waves and significant moderation in 2009, 2023, and pooled.</w:t>
      </w:r>
      <w:r>
        <w:t xml:space="preserve"> </w:t>
      </w:r>
      <w:r>
        <w:rPr>
          <w:bCs/>
          <w:b/>
        </w:rPr>
        <w:t xml:space="preserve">H3 (DAI direct premium)</w:t>
      </w:r>
      <w:r>
        <w:t xml:space="preserve"> </w:t>
      </w:r>
      <w:r>
        <w:t xml:space="preserve">is partially supported: positive in 2009 and 2023, null in 2015.</w:t>
      </w:r>
      <w:r>
        <w:t xml:space="preserve"> </w:t>
      </w:r>
      <w:r>
        <w:rPr>
          <w:bCs/>
          <w:b/>
        </w:rPr>
        <w:t xml:space="preserve">H4 (DAI × FSTS moderation)</w:t>
      </w:r>
      <w:r>
        <w:t xml:space="preserve"> </w:t>
      </w:r>
      <w:r>
        <w:t xml:space="preserve">is concentrated in 2023 and reads as proxy obsolescence rather than uniform substantive contingency, given the 2SLS null and the diffusion of website adoption to near-universal levels.</w:t>
      </w:r>
    </w:p>
    <w:bookmarkEnd w:id="43"/>
    <w:bookmarkStart w:id="44" w:name="X9aa65c43a9adaf86b36bbe99dfc3f5e71def80c"/>
    <w:p>
      <w:pPr>
        <w:pStyle w:val="Heading3"/>
      </w:pPr>
      <w:r>
        <w:t xml:space="preserve">4.4 Main empirical pattern: participation</w:t>
      </w:r>
      <w:r>
        <w:t xml:space="preserve"> </w:t>
      </w:r>
      <m:oMath>
        <m:r>
          <m:rPr>
            <m:sty m:val="p"/>
          </m:rPr>
          <m:t>×</m:t>
        </m:r>
      </m:oMath>
      <w:r>
        <w:t xml:space="preserve"> </w:t>
      </w:r>
      <w:r>
        <w:t xml:space="preserve">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w:t>
      </w:r>
      <w:r>
        <w:t xml:space="preserve"> </w:t>
      </w:r>
      <m:oMath>
        <m:r>
          <m:rPr>
            <m:sty m:val="p"/>
          </m:rPr>
          <m:t>±</m:t>
        </m:r>
      </m:oMath>
      <w:r>
        <w:t xml:space="preserve">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b>
          <m:e>
            <m:r>
              <m:rPr>
                <m:nor/>
                <m:sty m:val="p"/>
              </m:rPr>
              <m:t>FSTS</m:t>
            </m:r>
          </m:e>
          <m:sub>
            <m:r>
              <m:t>c</m:t>
            </m:r>
          </m:sub>
        </m:sSub>
      </m:oMath>
      <w:r>
        <w:t xml:space="preserve"> </w:t>
      </w:r>
      <w:r>
        <w:t xml:space="preserve">term is negative (</w:t>
      </w:r>
      <m:oMath>
        <m:r>
          <m:t>β</m:t>
        </m:r>
      </m:oMath>
      <w:r>
        <w:t xml:space="preserve"> </w:t>
      </w:r>
      <w:r>
        <w:t xml:space="preserve">= -0.861, p &lt; .001) but the quadratic term is not significant (</w:t>
      </w:r>
      <m:oMath>
        <m:sSubSup>
          <m:e>
            <m:r>
              <m:rPr>
                <m:nor/>
                <m:sty m:val="p"/>
              </m:rPr>
              <m:t>FSTS</m:t>
            </m:r>
          </m:e>
          <m:sub>
            <m:r>
              <m:t>c</m:t>
            </m:r>
          </m:sub>
          <m:sup>
            <m:r>
              <m:t>2</m:t>
            </m:r>
          </m:sup>
        </m:sSubSup>
      </m:oMath>
      <w:r>
        <w:t xml:space="preserve"> </w:t>
      </w:r>
      <m:oMath>
        <m:r>
          <m:t>β</m:t>
        </m:r>
      </m:oMath>
      <w:r>
        <w:t xml:space="preserve"> </w:t>
      </w: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w:t>
      </w:r>
      <w:r>
        <w:t xml:space="preserve"> </w:t>
      </w:r>
      <m:oMath>
        <m:r>
          <m:rPr>
            <m:sty m:val="p"/>
          </m:rPr>
          <m:t>×</m:t>
        </m:r>
      </m:oMath>
      <w:r>
        <w:t xml:space="preserve"> </w:t>
      </w:r>
      <w:r>
        <w:t xml:space="preserve">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4"/>
    <w:bookmarkStart w:id="45" w:name="X7b726dee2c9ef6703937388a81a5609caf4f3f3"/>
    <w:p>
      <w:pPr>
        <w:pStyle w:val="Heading3"/>
      </w:pPr>
      <w:r>
        <w:t xml:space="preserve">4.5 Robustness summary</w:t>
      </w:r>
    </w:p>
    <w:p>
      <w:pPr>
        <w:pStyle w:val="FirstParagraph"/>
      </w:pPr>
      <w:r>
        <w:t xml:space="preserve">Four families of robustness checks confirm the central inferences are not driven by measurement choices, sector composition, export-participation structure, or endogeneity. Full diagnostics (Panels A–K, two-stage least-squares estimation using leave-one-out sector × region × wave instruments, Heckman two-step selection correction, Oster's δ bounds, manufacturing versus non-manufacturing split, density-around-turning-point check, multiple-testing caveat) are reported in the Online Appendix (Tables OA-1 through OA-7); we summarise the pattern here.</w:t>
      </w:r>
    </w:p>
    <w:p>
      <w:pPr>
        <w:pStyle w:val="BodyText"/>
      </w:pPr>
      <w:r>
        <w:t xml:space="preserve">The inverted-U turning point at 39–46 % FSTS is preserved across the manufacturing-only restriction (TP = 41.2 %, 95 % CI [37.4, 45.0]) and the non-manufacturing subset (TP = 45.7 %, 95 % CI [40.8, 50.6]); the inflection lies at slightly lower export intensity in manufacturing, consistent with tighter coordination-cost margins in tradable goods. Density around the turning point is sparse: 1.4 % of pooled firms occupy the ±5 percentage-point band, reinforcing that the precise magnitude is identified from a thin support region. The IV strategy (first-stage F = 28.4, exceeding Staiger–Stock threshold) returns instrumented coefficients consistent in sign and significance with OLS; the Heckman selection-correction inverse-Mills coefficient is not statistically distinguishable from zero, indicating that selection into exporting does not materially bias the within-exporter slope estimates (subject to the caveats in Wolfolds &amp; Siegel, 2019). Oster's δ bounds (assuming R_max = 1.3 × R_controlled) confirm that no focal coefficient flips sign or collapses to zero under plausible magnitudes of unobserved selection. After Bonferroni correction for the four planned robustness families, the inverted-U coefficient and the TCI moderation remain significant; the DAI Tier-1 obsolescence interaction in 2023 sits at the borderline and is interpreted as a directional finding rather than a settled estimate.</w:t>
      </w:r>
    </w:p>
    <w:bookmarkEnd w:id="45"/>
    <w:bookmarkEnd w:id="46"/>
    <w:bookmarkStart w:id="52" w:name="X735612638e4e736e4693e459c258977262c0dfc"/>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47" w:name="Xa5f80b6bc0b8dd7b33d639445ac723c1ee9ad4a"/>
    <w:p>
      <w:pPr>
        <w:pStyle w:val="Heading3"/>
      </w:pPr>
      <w:r>
        <w:t xml:space="preserve">5.1 Reinterpreting the baseline website-presence indicator in Vietnam</w:t>
      </w:r>
    </w:p>
    <w:p>
      <w:pPr>
        <w:pStyle w:val="FirstParagraph"/>
      </w:pPr>
      <w:r>
        <w:t xml:space="preserve">The descriptive</w:t>
      </w:r>
      <w:r>
        <w:t xml:space="preserve"> </w:t>
      </w:r>
      <m:oMath>
        <m:sSub>
          <m:e>
            <m:r>
              <m:rPr>
                <m:nor/>
                <m:sty m:val="p"/>
              </m:rPr>
              <m:t>DAI</m:t>
            </m:r>
          </m:e>
          <m:sub>
            <m:r>
              <m:t>z</m:t>
            </m:r>
          </m:sub>
        </m:sSub>
      </m:oMath>
      <w:r>
        <w:t xml:space="preserve"> </w:t>
      </w:r>
      <w:r>
        <w:t xml:space="preserve">findings carry one central implication: baseline website presence in Vietnam should</w:t>
      </w:r>
      <w:r>
        <w:t xml:space="preserve"> </w:t>
      </w:r>
      <w:r>
        <w:t xml:space="preserve">not be read as a universal, temporally stable productivity premium, nor as evidence on dynamic digital capability.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47"/>
    <w:bookmarkStart w:id="48"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sSub>
          <m:e>
            <m:r>
              <m:rPr>
                <m:nor/>
                <m:sty m:val="p"/>
              </m:rPr>
              <m:t>TCI</m:t>
            </m:r>
          </m:e>
          <m:sub>
            <m:r>
              <m:t>z</m:t>
            </m:r>
          </m:sub>
        </m:sSub>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w:t>
      </w:r>
      <m:oMath>
        <m:r>
          <m:t>β</m:t>
        </m:r>
      </m:oMath>
      <w:r>
        <w:t xml:space="preserve"> </w:t>
      </w:r>
      <w:r>
        <w:t xml:space="preserve">=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nor/>
                <m:sty m:val="p"/>
              </m:rPr>
              <m:t>DAI</m:t>
            </m:r>
          </m:e>
          <m:sub>
            <m:r>
              <m:t>r</m:t>
            </m:r>
          </m:sub>
        </m:sSub>
      </m:oMath>
      <w:r>
        <w:t xml:space="preserve">ich extension reported in 4.5 Panel B reinforces the construct interpretation</w:t>
      </w:r>
      <w:r>
        <w:t xml:space="preserve"> </w:t>
      </w:r>
      <w:r>
        <w:t xml:space="preserve">rather than weakening it. Although the primary</w:t>
      </w:r>
      <w:r>
        <w:t xml:space="preserve"> </w:t>
      </w:r>
      <m:oMath>
        <m:sSub>
          <m:e>
            <m:r>
              <m:rPr>
                <m:nor/>
                <m:sty m:val="p"/>
              </m:rPr>
              <m:t>DAI</m:t>
            </m:r>
          </m:e>
          <m:sub>
            <m:r>
              <m:t>z</m:t>
            </m:r>
          </m:sub>
        </m:sSub>
      </m:oMath>
      <w:r>
        <w:t xml:space="preserve"> </w:t>
      </w:r>
      <w:r>
        <w:t xml:space="preserve">anchored on c22b (website presence) is</w:t>
      </w:r>
      <w:r>
        <w:t xml:space="preserve"> </w:t>
      </w:r>
      <w:r>
        <w:t xml:space="preserve">by 2023 close to a Tier-1 baseline indicator, the</w:t>
      </w:r>
      <w:r>
        <w:t xml:space="preserve"> </w:t>
      </w:r>
      <m:oMath>
        <m:sSub>
          <m:e>
            <m:r>
              <m:rPr>
                <m:nor/>
                <m:sty m:val="p"/>
              </m:rPr>
              <m:t>DAI</m:t>
            </m:r>
          </m:e>
          <m:sub>
            <m:r>
              <m:t>r</m:t>
            </m:r>
          </m:sub>
        </m:sSub>
      </m:oMath>
      <w:r>
        <w:t xml:space="preserve">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w:t>
      </w:r>
      <m:oMath>
        <m:sSub>
          <m:e>
            <m:r>
              <m:rPr>
                <m:nor/>
                <m:sty m:val="p"/>
              </m:rPr>
              <m:t>FSTS</m:t>
            </m:r>
          </m:e>
          <m:sub>
            <m:r>
              <m:t>c</m:t>
            </m:r>
          </m:sub>
        </m:sSub>
        <m:r>
          <m:rPr>
            <m:sty m:val="p"/>
          </m:rPr>
          <m:t>×</m:t>
        </m:r>
        <m:sSub>
          <m:e>
            <m:r>
              <m:rPr>
                <m:nor/>
                <m:sty m:val="p"/>
              </m:rPr>
              <m:t>DAI</m:t>
            </m:r>
          </m:e>
          <m:sub>
            <m:r>
              <m:t>r</m:t>
            </m:r>
          </m:sub>
        </m:sSub>
      </m:oMath>
      <w:r>
        <w:t xml:space="preserve">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sSub>
          <m:e>
            <m:r>
              <m:rPr>
                <m:nor/>
                <m:sty m:val="p"/>
              </m:rPr>
              <m:t>TCI</m:t>
            </m:r>
          </m:e>
          <m:sub>
            <m:r>
              <m:t>z</m:t>
            </m:r>
          </m:sub>
        </m:sSub>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sSub>
          <m:e>
            <m:r>
              <m:rPr>
                <m:nor/>
                <m:sty m:val="p"/>
              </m:rPr>
              <m:t>DAI</m:t>
            </m:r>
          </m:e>
          <m:sub>
            <m:r>
              <m:t>z</m:t>
            </m:r>
          </m:sub>
        </m:sSub>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48"/>
    <w:bookmarkStart w:id="49" w:name="X946dfeb74c2174371e94edd51e868f8bb309c10"/>
    <w:p>
      <w:pPr>
        <w:pStyle w:val="Heading3"/>
      </w:pPr>
      <w:r>
        <w:t xml:space="preserve">5.3 The significance of the 2015 dip</w:t>
      </w:r>
    </w:p>
    <w:p>
      <w:pPr>
        <w:pStyle w:val="FirstParagraph"/>
      </w:pPr>
      <w:r>
        <w:t xml:space="preserve">The 2015 null on</w:t>
      </w:r>
      <w:r>
        <w:t xml:space="preserve"> </w:t>
      </w:r>
      <m:oMath>
        <m:sSub>
          <m:e>
            <m:r>
              <m:rPr>
                <m:nor/>
                <m:sty m:val="p"/>
              </m:rPr>
              <m:t>DAI</m:t>
            </m:r>
          </m:e>
          <m:sub>
            <m:r>
              <m:t>z</m:t>
            </m:r>
          </m:sub>
        </m:sSub>
      </m:oMath>
      <w:r>
        <w:t xml:space="preserve"> </w:t>
      </w:r>
      <w:r>
        <w:t xml:space="preserve">direct (</w:t>
      </w:r>
      <m:oMath>
        <m:r>
          <m:t>β</m:t>
        </m:r>
      </m:oMath>
      <w:r>
        <w:t xml:space="preserve"> </w:t>
      </w:r>
      <w:r>
        <w:t xml:space="preserve">= −0.044, p = .377) should be grounded in the micro-structure of the sample, not invoked as anomaly.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This cohort-composition mechanism — combined with the proxy-obsolescence channel as website ownership diffused beyond the differentiating threshold — helps explain why the website-based DAI coefficient compresses in 2015 while the inverted-U curvature remains statistically present.</w:t>
      </w:r>
    </w:p>
    <w:p>
      <w:pPr>
        <w:pStyle w:val="BodyText"/>
      </w:pPr>
      <w:r>
        <w:t xml:space="preserve">Stage contingency and proxy obsolescence are not mutually exclusive: both can operate jointly. The 2015 pattern is therefore best read as a wave-specific compression of the foundational digital-adoption channel under transitional infrastructure conditions, not a structural change in the underlying productivity payoff. Per Online Appendix Panel I, the formal pooled wave × focal interaction test detects only the DAI direct shifts as cross-wave-distinguishable; the FSTS curvature and FSTS × DAI moderation cross-wave differences are not statistically separable. We therefore treat the 2015 compression as a wave-specific association consistent with stage contingency rather than as a fully cross-wave-identified structural shift. Future work using WBES waves with richer Tier 2–3 digital items will be needed to disentangle the two channels.</w:t>
      </w:r>
    </w:p>
    <w:bookmarkEnd w:id="49"/>
    <w:bookmarkStart w:id="50"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FSTS.</w:t>
      </w:r>
    </w:p>
    <w:p>
      <w:pPr>
        <w:pStyle w:val="BodyText"/>
      </w:pPr>
      <w:r>
        <w:t xml:space="preserve">For firms below the participation margin, the productivity-relevant investment is the bundle that crosses them into exporting at all — quality certification, foreign-technology adoption, and process innovation (the TCI channel). Tier-1 website presence is necessary but increasingly insufficient as a differentiating capability; expenditure on incremental Tier-1 presence at low export intensity has limited productivity return given the diffusion to near-universal levels.</w:t>
      </w:r>
    </w:p>
    <w:p>
      <w:pPr>
        <w:pStyle w:val="BodyText"/>
      </w:pPr>
      <w:r>
        <w:t xml:space="preserve">For firms above the participation margin but below the turning-point band, additional intensity expansion remains productivity-enhancing; the priority is removing barriers to incremental export expansion (logistics, payment, customs facilitation). For firms approaching the 39–46% turning-point band, the productivity-relevant investment shifts to Tier-2 transaction-enabling capability (electronic payment integration, process digitisation, supplier-side digital coordination) rather than continued Tier-1 expansion. The cross-wave evidence supports staged allocation against these thresholds rather than uniform "more digital is better" prescriptions.</w:t>
      </w:r>
    </w:p>
    <w:p>
      <w:pPr>
        <w:pStyle w:val="BodyText"/>
      </w:pPr>
      <w:r>
        <w:t xml:space="preserve">Two cross-cutting principles emerge. First, managers should avoid conflating basic digital adoption with deeper technological capability — the two constructs do not behave identically and Tier-1 digital expenditure does not substitute for TCI-channel investments. Second, allocation decisions should be staged against the empirically identified thresholds rather than against generic digital-transformation prescriptions. These implications translate the step-function and Tier-1 saturation findings into actionable guidance without overstating the causal status of the cross-sectional coefficients.</w:t>
      </w:r>
    </w:p>
    <w:bookmarkEnd w:id="50"/>
    <w:bookmarkStart w:id="51" w:name="X0d482379a65faf52764848d2b168aee0725ece4"/>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51"/>
    <w:bookmarkEnd w:id="52"/>
    <w:bookmarkStart w:id="53"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w:t>
      </w:r>
      <w:r>
        <w:t xml:space="preserve"> </w:t>
      </w:r>
      <m:oMath>
        <m:sSub>
          <m:e>
            <m:r>
              <m:rPr>
                <m:nor/>
                <m:sty m:val="p"/>
              </m:rPr>
              <m:t>DAI</m:t>
            </m:r>
          </m:e>
          <m:sub>
            <m:r>
              <m:t>z</m:t>
            </m:r>
          </m:sub>
        </m:sSub>
      </m:oMath>
      <w:r>
        <w:t xml:space="preserve"> </w:t>
      </w:r>
      <w:r>
        <w:t xml:space="preserve">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w:t>
      </w:r>
      <w:r>
        <w:t xml:space="preserve"> </w:t>
      </w:r>
      <m:oMath>
        <m:sSub>
          <m:e>
            <m:r>
              <m:rPr>
                <m:nor/>
                <m:sty m:val="p"/>
              </m:rPr>
              <m:t>DAI</m:t>
            </m:r>
          </m:e>
          <m:sub>
            <m:r>
              <m:t>z</m:t>
            </m:r>
          </m:sub>
        </m:sSub>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53"/>
    <w:bookmarkStart w:id="54" w:name="X19cad7d15381a9dfa000caf49ac5c69889e188d"/>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 "digital adoption" or "digital transformation" 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54"/>
    <w:bookmarkStart w:id="55" w:name="conflict-of-interest"/>
    <w:p>
      <w:pPr>
        <w:pStyle w:val="Heading2"/>
      </w:pPr>
      <w:r>
        <w:t xml:space="preserve">Conflict of interest</w:t>
      </w:r>
    </w:p>
    <w:p>
      <w:pPr>
        <w:pStyle w:val="FirstParagraph"/>
      </w:pPr>
      <w:r>
        <w:t xml:space="preserve">The authors declare no conflict of interest.</w:t>
      </w:r>
    </w:p>
    <w:bookmarkEnd w:id="55"/>
    <w:bookmarkStart w:id="56"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6"/>
    <w:bookmarkStart w:id="57"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7"/>
    <w:bookmarkStart w:id="58"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58"/>
    <w:bookmarkStart w:id="59"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59"/>
    <w:bookmarkStart w:id="6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0"/>
    <w:bookmarkStart w:id="110"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forthcoming). The World Bank.</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61">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2">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63">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forthcoming). The World Bank.</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64">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65">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66">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7">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68">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9">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0">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71">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72">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73">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74">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5">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76">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77">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8">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79">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80">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1">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82">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6">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7">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88">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9">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90">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91">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92">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93">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94">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5">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96">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7">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98">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99">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0">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01">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02">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3">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04">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05">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06">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07">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08">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09">
        <w:r>
          <w:rPr>
            <w:rStyle w:val="Hyperlink"/>
          </w:rPr>
          <w:t xml:space="preserve">https://doi.org/10.1016/j.jwb.2015.09.001</w:t>
        </w:r>
      </w:hyperlink>
    </w:p>
    <w:bookmarkEnd w:id="110"/>
    <w:bookmarkEnd w:id="11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106" Target="https://databank.worldbank.org/source/world-development-indicators" TargetMode="External" /><Relationship Type="http://schemas.openxmlformats.org/officeDocument/2006/relationships/hyperlink" Id="rId73" Target="https://doi.org/10.1002/1097-0266(200010/11)21:10/11%3C1105::AID-SMJ133%3E3.0.CO;2-E" TargetMode="External" /><Relationship Type="http://schemas.openxmlformats.org/officeDocument/2006/relationships/hyperlink" Id="rId95" Target="https://doi.org/10.1002/gsj.1336" TargetMode="External" /><Relationship Type="http://schemas.openxmlformats.org/officeDocument/2006/relationships/hyperlink" Id="rId98" Target="https://doi.org/10.1002/gsj.1375" TargetMode="External" /><Relationship Type="http://schemas.openxmlformats.org/officeDocument/2006/relationships/hyperlink" Id="rId79" Target="https://doi.org/10.1002/gsj.8" TargetMode="External" /><Relationship Type="http://schemas.openxmlformats.org/officeDocument/2006/relationships/hyperlink" Id="rId81" Target="https://doi.org/10.1002/smj.2379" TargetMode="External" /><Relationship Type="http://schemas.openxmlformats.org/officeDocument/2006/relationships/hyperlink" Id="rId75" Target="https://doi.org/10.1002/smj.2399" TargetMode="External" /><Relationship Type="http://schemas.openxmlformats.org/officeDocument/2006/relationships/hyperlink" Id="rId68" Target="https://doi.org/10.1002/smj.2475" TargetMode="External" /><Relationship Type="http://schemas.openxmlformats.org/officeDocument/2006/relationships/hyperlink" Id="rId104" Target="https://doi.org/10.1002/smj.2995" TargetMode="External" /><Relationship Type="http://schemas.openxmlformats.org/officeDocument/2006/relationships/hyperlink" Id="rId91" Target="https://doi.org/10.1002/smj.3087" TargetMode="External" /><Relationship Type="http://schemas.openxmlformats.org/officeDocument/2006/relationships/hyperlink" Id="rId97" Target="https://doi.org/10.1002/smj.640" TargetMode="External" /><Relationship Type="http://schemas.openxmlformats.org/officeDocument/2006/relationships/hyperlink" Id="rId78" Target="https://doi.org/10.1007/s11575-007-0023-3" TargetMode="External" /><Relationship Type="http://schemas.openxmlformats.org/officeDocument/2006/relationships/hyperlink" Id="rId70" Target="https://doi.org/10.1007/s11575-007-0024-2" TargetMode="External" /><Relationship Type="http://schemas.openxmlformats.org/officeDocument/2006/relationships/hyperlink" Id="rId108" Target="https://doi.org/10.1007/s11575-022-00466-1" TargetMode="External" /><Relationship Type="http://schemas.openxmlformats.org/officeDocument/2006/relationships/hyperlink" Id="rId83" Target="https://doi.org/10.1016/0305-750X(92)90097-F" TargetMode="External" /><Relationship Type="http://schemas.openxmlformats.org/officeDocument/2006/relationships/hyperlink" Id="rId100" Target="https://doi.org/10.1016/j.jbusres.2019.09.022" TargetMode="External" /><Relationship Type="http://schemas.openxmlformats.org/officeDocument/2006/relationships/hyperlink" Id="rId102" Target="https://doi.org/10.1016/j.jsis.2019.01.003" TargetMode="External" /><Relationship Type="http://schemas.openxmlformats.org/officeDocument/2006/relationships/hyperlink" Id="rId82" Target="https://doi.org/10.1016/j.jwb.2015.08.011" TargetMode="External" /><Relationship Type="http://schemas.openxmlformats.org/officeDocument/2006/relationships/hyperlink" Id="rId109"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87" Target="https://doi.org/10.1016/j.respol.2019.03.018" TargetMode="External" /><Relationship Type="http://schemas.openxmlformats.org/officeDocument/2006/relationships/hyperlink" Id="rId66" Target="https://doi.org/10.1057/jibs.2015.20" TargetMode="External" /><Relationship Type="http://schemas.openxmlformats.org/officeDocument/2006/relationships/hyperlink" Id="rId72" Target="https://doi.org/10.1057/palgrave.jibs.8400390" TargetMode="External" /><Relationship Type="http://schemas.openxmlformats.org/officeDocument/2006/relationships/hyperlink" Id="rId99" Target="https://doi.org/10.1057/s41267-017-0107-7" TargetMode="External" /><Relationship Type="http://schemas.openxmlformats.org/officeDocument/2006/relationships/hyperlink" Id="rId71"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0" Target="https://doi.org/10.1057/s41267-019-00269-x" TargetMode="External" /><Relationship Type="http://schemas.openxmlformats.org/officeDocument/2006/relationships/hyperlink" Id="rId88" Target="https://doi.org/10.1080/07350015.2016.1227711" TargetMode="External" /><Relationship Type="http://schemas.openxmlformats.org/officeDocument/2006/relationships/hyperlink" Id="rId96" Target="https://doi.org/10.1108/MBR-05-2017-0028" TargetMode="External" /><Relationship Type="http://schemas.openxmlformats.org/officeDocument/2006/relationships/hyperlink" Id="rId107" Target="https://doi.org/10.1111/j.1467-6486.2005.00487.x" TargetMode="External" /><Relationship Type="http://schemas.openxmlformats.org/officeDocument/2006/relationships/hyperlink" Id="rId103" Target="https://doi.org/10.1111/j.1467-9701.2007.00872.x" TargetMode="External" /><Relationship Type="http://schemas.openxmlformats.org/officeDocument/2006/relationships/hyperlink" Id="rId101" Target="https://doi.org/10.1111/j.1468-0084.1979.mp41004002.x" TargetMode="External" /><Relationship Type="http://schemas.openxmlformats.org/officeDocument/2006/relationships/hyperlink" Id="rId84" Target="https://doi.org/10.1111/j.1468-0084.2009.00569.x" TargetMode="External" /><Relationship Type="http://schemas.openxmlformats.org/officeDocument/2006/relationships/hyperlink" Id="rId89" Target="https://doi.org/10.1111/j.1745-9125.1998.tb01268.x" TargetMode="External" /><Relationship Type="http://schemas.openxmlformats.org/officeDocument/2006/relationships/hyperlink" Id="rId76" Target="https://doi.org/10.1111/joms.12639" TargetMode="External" /><Relationship Type="http://schemas.openxmlformats.org/officeDocument/2006/relationships/hyperlink" Id="rId86"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1" Target="https://doi.org/10.1177/1094428119836485" TargetMode="External" /><Relationship Type="http://schemas.openxmlformats.org/officeDocument/2006/relationships/hyperlink" Id="rId74" Target="https://doi.org/10.1257/jel.20171452" TargetMode="External" /><Relationship Type="http://schemas.openxmlformats.org/officeDocument/2006/relationships/hyperlink" Id="rId64" Target="https://doi.org/10.1257/jep.21.3.105" TargetMode="External" /><Relationship Type="http://schemas.openxmlformats.org/officeDocument/2006/relationships/hyperlink" Id="rId67" Target="https://doi.org/10.1257/mac.20180386" TargetMode="External" /><Relationship Type="http://schemas.openxmlformats.org/officeDocument/2006/relationships/hyperlink" Id="rId77" Target="https://doi.org/10.2307/1912352" TargetMode="External" /><Relationship Type="http://schemas.openxmlformats.org/officeDocument/2006/relationships/hyperlink" Id="rId85" Target="https://doi.org/10.2307/20159604" TargetMode="External" /><Relationship Type="http://schemas.openxmlformats.org/officeDocument/2006/relationships/hyperlink" Id="rId94" Target="https://doi.org/10.2307/2171753" TargetMode="External" /><Relationship Type="http://schemas.openxmlformats.org/officeDocument/2006/relationships/hyperlink" Id="rId69" Target="https://doi.org/10.2307/2393553" TargetMode="External" /><Relationship Type="http://schemas.openxmlformats.org/officeDocument/2006/relationships/hyperlink" Id="rId65" Target="https://doi.org/10.25300/misq/2013/37:2.3" TargetMode="External" /><Relationship Type="http://schemas.openxmlformats.org/officeDocument/2006/relationships/hyperlink" Id="rId92" Target="https://english.luatvietnam.vn/decision-no-749-qd-ttg-on-approving-the-national-digital-transformation-program-until-2025-with-a-vision-184241-doc1.html" TargetMode="External" /><Relationship Type="http://schemas.openxmlformats.org/officeDocument/2006/relationships/hyperlink" Id="rId105" Target="https://www.enterprisesurveys.org/en/enterprisesurveys" TargetMode="External" /><Relationship Type="http://schemas.openxmlformats.org/officeDocument/2006/relationships/hyperlink" Id="rId80"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106" Target="https://databank.worldbank.org/source/world-development-indicators" TargetMode="External" /><Relationship Type="http://schemas.openxmlformats.org/officeDocument/2006/relationships/hyperlink" Id="rId73" Target="https://doi.org/10.1002/1097-0266(200010/11)21:10/11%3C1105::AID-SMJ133%3E3.0.CO;2-E" TargetMode="External" /><Relationship Type="http://schemas.openxmlformats.org/officeDocument/2006/relationships/hyperlink" Id="rId95" Target="https://doi.org/10.1002/gsj.1336" TargetMode="External" /><Relationship Type="http://schemas.openxmlformats.org/officeDocument/2006/relationships/hyperlink" Id="rId98" Target="https://doi.org/10.1002/gsj.1375" TargetMode="External" /><Relationship Type="http://schemas.openxmlformats.org/officeDocument/2006/relationships/hyperlink" Id="rId79" Target="https://doi.org/10.1002/gsj.8" TargetMode="External" /><Relationship Type="http://schemas.openxmlformats.org/officeDocument/2006/relationships/hyperlink" Id="rId81" Target="https://doi.org/10.1002/smj.2379" TargetMode="External" /><Relationship Type="http://schemas.openxmlformats.org/officeDocument/2006/relationships/hyperlink" Id="rId75" Target="https://doi.org/10.1002/smj.2399" TargetMode="External" /><Relationship Type="http://schemas.openxmlformats.org/officeDocument/2006/relationships/hyperlink" Id="rId68" Target="https://doi.org/10.1002/smj.2475" TargetMode="External" /><Relationship Type="http://schemas.openxmlformats.org/officeDocument/2006/relationships/hyperlink" Id="rId104" Target="https://doi.org/10.1002/smj.2995" TargetMode="External" /><Relationship Type="http://schemas.openxmlformats.org/officeDocument/2006/relationships/hyperlink" Id="rId91" Target="https://doi.org/10.1002/smj.3087" TargetMode="External" /><Relationship Type="http://schemas.openxmlformats.org/officeDocument/2006/relationships/hyperlink" Id="rId97" Target="https://doi.org/10.1002/smj.640" TargetMode="External" /><Relationship Type="http://schemas.openxmlformats.org/officeDocument/2006/relationships/hyperlink" Id="rId78" Target="https://doi.org/10.1007/s11575-007-0023-3" TargetMode="External" /><Relationship Type="http://schemas.openxmlformats.org/officeDocument/2006/relationships/hyperlink" Id="rId70" Target="https://doi.org/10.1007/s11575-007-0024-2" TargetMode="External" /><Relationship Type="http://schemas.openxmlformats.org/officeDocument/2006/relationships/hyperlink" Id="rId108" Target="https://doi.org/10.1007/s11575-022-00466-1" TargetMode="External" /><Relationship Type="http://schemas.openxmlformats.org/officeDocument/2006/relationships/hyperlink" Id="rId83" Target="https://doi.org/10.1016/0305-750X(92)90097-F" TargetMode="External" /><Relationship Type="http://schemas.openxmlformats.org/officeDocument/2006/relationships/hyperlink" Id="rId100" Target="https://doi.org/10.1016/j.jbusres.2019.09.022" TargetMode="External" /><Relationship Type="http://schemas.openxmlformats.org/officeDocument/2006/relationships/hyperlink" Id="rId102" Target="https://doi.org/10.1016/j.jsis.2019.01.003" TargetMode="External" /><Relationship Type="http://schemas.openxmlformats.org/officeDocument/2006/relationships/hyperlink" Id="rId82" Target="https://doi.org/10.1016/j.jwb.2015.08.011" TargetMode="External" /><Relationship Type="http://schemas.openxmlformats.org/officeDocument/2006/relationships/hyperlink" Id="rId109"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87" Target="https://doi.org/10.1016/j.respol.2019.03.018" TargetMode="External" /><Relationship Type="http://schemas.openxmlformats.org/officeDocument/2006/relationships/hyperlink" Id="rId66" Target="https://doi.org/10.1057/jibs.2015.20" TargetMode="External" /><Relationship Type="http://schemas.openxmlformats.org/officeDocument/2006/relationships/hyperlink" Id="rId72" Target="https://doi.org/10.1057/palgrave.jibs.8400390" TargetMode="External" /><Relationship Type="http://schemas.openxmlformats.org/officeDocument/2006/relationships/hyperlink" Id="rId99" Target="https://doi.org/10.1057/s41267-017-0107-7" TargetMode="External" /><Relationship Type="http://schemas.openxmlformats.org/officeDocument/2006/relationships/hyperlink" Id="rId71"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0" Target="https://doi.org/10.1057/s41267-019-00269-x" TargetMode="External" /><Relationship Type="http://schemas.openxmlformats.org/officeDocument/2006/relationships/hyperlink" Id="rId88" Target="https://doi.org/10.1080/07350015.2016.1227711" TargetMode="External" /><Relationship Type="http://schemas.openxmlformats.org/officeDocument/2006/relationships/hyperlink" Id="rId96" Target="https://doi.org/10.1108/MBR-05-2017-0028" TargetMode="External" /><Relationship Type="http://schemas.openxmlformats.org/officeDocument/2006/relationships/hyperlink" Id="rId107" Target="https://doi.org/10.1111/j.1467-6486.2005.00487.x" TargetMode="External" /><Relationship Type="http://schemas.openxmlformats.org/officeDocument/2006/relationships/hyperlink" Id="rId103" Target="https://doi.org/10.1111/j.1467-9701.2007.00872.x" TargetMode="External" /><Relationship Type="http://schemas.openxmlformats.org/officeDocument/2006/relationships/hyperlink" Id="rId101" Target="https://doi.org/10.1111/j.1468-0084.1979.mp41004002.x" TargetMode="External" /><Relationship Type="http://schemas.openxmlformats.org/officeDocument/2006/relationships/hyperlink" Id="rId84" Target="https://doi.org/10.1111/j.1468-0084.2009.00569.x" TargetMode="External" /><Relationship Type="http://schemas.openxmlformats.org/officeDocument/2006/relationships/hyperlink" Id="rId89" Target="https://doi.org/10.1111/j.1745-9125.1998.tb01268.x" TargetMode="External" /><Relationship Type="http://schemas.openxmlformats.org/officeDocument/2006/relationships/hyperlink" Id="rId76" Target="https://doi.org/10.1111/joms.12639" TargetMode="External" /><Relationship Type="http://schemas.openxmlformats.org/officeDocument/2006/relationships/hyperlink" Id="rId86"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61" Target="https://doi.org/10.1177/1094428119836485" TargetMode="External" /><Relationship Type="http://schemas.openxmlformats.org/officeDocument/2006/relationships/hyperlink" Id="rId74" Target="https://doi.org/10.1257/jel.20171452" TargetMode="External" /><Relationship Type="http://schemas.openxmlformats.org/officeDocument/2006/relationships/hyperlink" Id="rId64" Target="https://doi.org/10.1257/jep.21.3.105" TargetMode="External" /><Relationship Type="http://schemas.openxmlformats.org/officeDocument/2006/relationships/hyperlink" Id="rId67" Target="https://doi.org/10.1257/mac.20180386" TargetMode="External" /><Relationship Type="http://schemas.openxmlformats.org/officeDocument/2006/relationships/hyperlink" Id="rId77" Target="https://doi.org/10.2307/1912352" TargetMode="External" /><Relationship Type="http://schemas.openxmlformats.org/officeDocument/2006/relationships/hyperlink" Id="rId85" Target="https://doi.org/10.2307/20159604" TargetMode="External" /><Relationship Type="http://schemas.openxmlformats.org/officeDocument/2006/relationships/hyperlink" Id="rId94" Target="https://doi.org/10.2307/2171753" TargetMode="External" /><Relationship Type="http://schemas.openxmlformats.org/officeDocument/2006/relationships/hyperlink" Id="rId69" Target="https://doi.org/10.2307/2393553" TargetMode="External" /><Relationship Type="http://schemas.openxmlformats.org/officeDocument/2006/relationships/hyperlink" Id="rId65" Target="https://doi.org/10.25300/misq/2013/37:2.3" TargetMode="External" /><Relationship Type="http://schemas.openxmlformats.org/officeDocument/2006/relationships/hyperlink" Id="rId92" Target="https://english.luatvietnam.vn/decision-no-749-qd-ttg-on-approving-the-national-digital-transformation-program-until-2025-with-a-vision-184241-doc1.html" TargetMode="External" /><Relationship Type="http://schemas.openxmlformats.org/officeDocument/2006/relationships/hyperlink" Id="rId105" Target="https://www.enterprisesurveys.org/en/enterprisesurveys" TargetMode="External" /><Relationship Type="http://schemas.openxmlformats.org/officeDocument/2006/relationships/hyperlink" Id="rId80"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2026-06-02T03:27:05Z</dcterms:created>
  <dcterms:modified xsi:type="dcterms:W3CDTF">2026-06-02T03:27:05Z</dcterms:modified>
</cp:coreProperties>
</file>

<file path=docProps/custom.xml><?xml version="1.0" encoding="utf-8"?>
<Properties xmlns="http://schemas.openxmlformats.org/officeDocument/2006/custom-properties" xmlns:vt="http://schemas.openxmlformats.org/officeDocument/2006/docPropsVTypes"/>
</file>