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Journal of Asian Business and Economic Studies (JABES), Emerald Publishing on behalf of University of Economics Ho Chi Minh City (UEH)</w:t>
      </w:r>
    </w:p>
    <w:bookmarkStart w:id="20" w:name="abstract"/>
    <w:p>
      <w:pPr>
        <w:pStyle w:val="Heading2"/>
      </w:pPr>
      <w:r>
        <w:t xml:space="preserve">Abstract</w:t>
      </w:r>
    </w:p>
    <w:p>
      <w:pPr>
        <w:pStyle w:val="FirstParagraph"/>
      </w:pPr>
      <w:r>
        <w:rPr>
          <w:bCs/>
          <w:b/>
        </w:rPr>
        <w:t xml:space="preserve">Purpose.</w:t>
      </w:r>
      <w:r>
        <w:t xml:space="preserve"> </w:t>
      </w:r>
      <w:r>
        <w:t xml:space="preserve">Examines how technological capability and foundational digital adoption relate to the I-P relationship in Singapore, treated as a boundary-case test at the advanced-economy ceiling.</w:t>
      </w:r>
    </w:p>
    <w:p>
      <w:pPr>
        <w:pStyle w:val="BodyText"/>
      </w:pPr>
      <w:r>
        <w:rPr>
          <w:bCs/>
          <w:b/>
        </w:rPr>
        <w:t xml:space="preserve">Design/methodology/approach.</w:t>
      </w:r>
      <w:r>
        <w:t xml:space="preserve"> </w:t>
      </w:r>
      <w:r>
        <w:t xml:space="preserve">WBES Singapore 2023 (N = 623; DAI subsample N = 617). OLS with HC1 robust SEs, quadratic FSTS, and capability</w:t>
      </w:r>
      <w:r>
        <w:t xml:space="preserve"> </w:t>
      </w:r>
      <m:oMath>
        <m:r>
          <m:rPr>
            <m:sty m:val="p"/>
          </m:rPr>
          <m:t>×</m:t>
        </m:r>
      </m:oMath>
      <w:r>
        <w:t xml:space="preserve"> </w:t>
      </w:r>
      <w:r>
        <w:t xml:space="preserve">FSTS interactions. Separates a Technological Capability Index from a Tier 1–2 Digital Adoption Index.</w:t>
      </w:r>
    </w:p>
    <w:p>
      <w:pPr>
        <w:pStyle w:val="BodyText"/>
      </w:pPr>
      <w:r>
        <w:rPr>
          <w:bCs/>
          <w:b/>
        </w:rPr>
        <w:t xml:space="preserve">Findings.</w:t>
      </w:r>
      <w:r>
        <w:t xml:space="preserve"> </w:t>
      </w:r>
      <w:r>
        <w:t xml:space="preserve">Within the observed FSTS range the I-P relationship is predominantly positive with mild curvature; the fitted turning point sits at</w:t>
      </w:r>
      <w:r>
        <w:t xml:space="preserve"> </w:t>
      </w:r>
      <m:oMath>
        <m:r>
          <m:rPr>
            <m:sty m:val="p"/>
          </m:rPr>
          <m:t>F</m:t>
        </m:r>
        <m:r>
          <m:rPr>
            <m:sty m:val="p"/>
          </m:rPr>
          <m:t>S</m:t>
        </m:r>
        <m:r>
          <m:rPr>
            <m:sty m:val="p"/>
          </m:rPr>
          <m:t>T</m:t>
        </m:r>
        <m:r>
          <m:rPr>
            <m:sty m:val="p"/>
          </m:rPr>
          <m:t>S</m:t>
        </m:r>
        <m:r>
          <m:rPr>
            <m:sty m:val="p"/>
          </m:rPr>
          <m:t>≈</m:t>
        </m:r>
        <m:r>
          <m:t>82</m:t>
        </m:r>
        <m:r>
          <m:rPr>
            <m:sty m:val="p"/>
          </m:rPr>
          <m:t>%</m:t>
        </m:r>
      </m:oMath>
      <w:r>
        <w:t xml:space="preserve"> </w:t>
      </w:r>
      <w:r>
        <w:t xml:space="preserve">in a sparse upper tail. TCI is positive without significant moderation. DAI has no uniform productivity premium but a robust positive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interaction (</w:t>
      </w:r>
      <m:oMath>
        <m:r>
          <m:t>β</m:t>
        </m:r>
      </m:oMath>
      <w:r>
        <w:t xml:space="preserve"> </w:t>
      </w:r>
      <w:r>
        <w:t xml:space="preserve">= +3.119, p = .005).</w:t>
      </w:r>
    </w:p>
    <w:p>
      <w:pPr>
        <w:pStyle w:val="BodyText"/>
      </w:pPr>
      <w:r>
        <w:rPr>
          <w:bCs/>
          <w:b/>
        </w:rPr>
        <w:t xml:space="preserve">Research limitations/implications.</w:t>
      </w:r>
      <w:r>
        <w:t xml:space="preserve"> </w:t>
      </w:r>
      <w:r>
        <w:t xml:space="preserve">Single-wave cross-section; the high-export tail is sparse (</w:t>
      </w:r>
      <m:oMath>
        <m:r>
          <m:rPr>
            <m:sty m:val="p"/>
          </m:rPr>
          <m:t>≈</m:t>
        </m:r>
      </m:oMath>
      <w:r>
        <w:t xml:space="preserve">3% above 50% FSTS).</w:t>
      </w:r>
    </w:p>
    <w:p>
      <w:pPr>
        <w:pStyle w:val="BodyText"/>
      </w:pPr>
      <w:r>
        <w:rPr>
          <w:bCs/>
          <w:b/>
        </w:rPr>
        <w:t xml:space="preserve">Practical implications.</w:t>
      </w:r>
      <w:r>
        <w:t xml:space="preserve"> </w:t>
      </w:r>
      <w:r>
        <w:t xml:space="preserve">In digitally saturated economies, Tier 1–2 tools are hygiene factors domestically but scaling levers under cross-border demands. Enterprise Singapore / IMDA should treat DAI as export-readiness, prioritising Tier 3–4 for uplift.</w:t>
      </w:r>
    </w:p>
    <w:p>
      <w:pPr>
        <w:pStyle w:val="BodyText"/>
      </w:pPr>
      <w:r>
        <w:rPr>
          <w:bCs/>
          <w:b/>
        </w:rPr>
        <w:t xml:space="preserve">Social implications.</w:t>
      </w:r>
      <w:r>
        <w:t xml:space="preserve"> </w:t>
      </w:r>
      <w:r>
        <w:t xml:space="preserve">Under Singapore's Smart Nation Agenda, digital diffusion alone is insufficient for productivity convergence.</w:t>
      </w:r>
    </w:p>
    <w:p>
      <w:pPr>
        <w:pStyle w:val="BodyText"/>
      </w:pPr>
      <w:r>
        <w:rPr>
          <w:bCs/>
          <w:b/>
        </w:rPr>
        <w:t xml:space="preserve">Originality/value.</w:t>
      </w:r>
      <w:r>
        <w:t xml:space="preserve"> </w:t>
      </w:r>
      <w:r>
        <w:t xml:space="preserve">First firm-level test separating TCI from DAI in Singapore, identifying a</w:t>
      </w:r>
      <w:r>
        <w:t xml:space="preserve"> </w:t>
      </w:r>
      <w:r>
        <w:rPr>
          <w:iCs/>
          <w:i/>
        </w:rPr>
        <w:t xml:space="preserve">digital saturation paradox</w:t>
      </w:r>
      <w:r>
        <w:t xml:space="preserve">: conditional digital complementarity is most legible where saturation removes the uniform-premium effect.</w:t>
      </w:r>
    </w:p>
    <w:p>
      <w:pPr>
        <w:pStyle w:val="BodyText"/>
      </w:pPr>
      <w:r>
        <w:rPr>
          <w:bCs/>
          <w:b/>
        </w:rPr>
        <w:t xml:space="preserve">Keywords:</w:t>
      </w:r>
      <w:r>
        <w:t xml:space="preserve"> </w:t>
      </w:r>
      <w:r>
        <w:t xml:space="preserve">internationalisation–performance; digital adoption; technological capability; export intensity; labour productivity; Singapore; advanced Asian economies.</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w:t>
      </w:r>
      <w:r>
        <w:t xml:space="preserve"> </w:t>
      </w:r>
      <m:oMath>
        <m:r>
          <m:t>β</m:t>
        </m:r>
      </m:oMath>
      <w:r>
        <w:t xml:space="preserve">=+3.119, p = .005)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w:t>
      </w:r>
      <w:r>
        <w:t xml:space="preserve"> </w:t>
      </w:r>
      <m:oMath>
        <m:r>
          <m:rPr>
            <m:nor/>
            <m:sty m:val="p"/>
          </m:rPr>
          <m:t>DAI</m:t>
        </m:r>
        <m:r>
          <m:rPr>
            <m:sty m:val="p"/>
          </m:rPr>
          <m:t>×</m:t>
        </m:r>
        <m:r>
          <m:rPr>
            <m:nor/>
            <m:sty m:val="p"/>
          </m:rPr>
          <m:t>FSTS</m:t>
        </m:r>
      </m:oMath>
      <w:r>
        <w:t xml:space="preserve"> </w:t>
      </w:r>
      <w:r>
        <w:t xml:space="preserve">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.18) and within DAI (mean r = .21)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w:t>
      </w:r>
      <w:r>
        <w:t xml:space="preserve"> </w:t>
      </w:r>
      <m:oMath>
        <m:sSup>
          <m:e>
            <m:r>
              <m:t>f</m:t>
            </m:r>
          </m:e>
          <m:sup>
            <m:r>
              <m:t>2</m:t>
            </m:r>
          </m:sup>
        </m:sSup>
      </m:oMath>
      <w:r>
        <w:t xml:space="preserve"> </w:t>
      </w:r>
      <w:r>
        <w:t xml:space="preserve">(Aguinis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(p = .056, approaching conventional significance thresholds).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w:t>
      </w:r>
      <m:oMath>
        <m:r>
          <m:t>β</m:t>
        </m:r>
      </m:oMath>
      <w:r>
        <w:t xml:space="preserve"> </w:t>
      </w:r>
      <w:r>
        <w:t xml:space="preserve">= 0.168, SE = 0.040, p &lt; .001).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oMath>
      <w:r>
        <w:t xml:space="preserve"> </w:t>
      </w:r>
      <w:r>
        <w:t xml:space="preserve">=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w:t>
      </w:r>
      <m:oMath>
        <m:r>
          <m:t>β</m:t>
        </m:r>
      </m:oMath>
      <w:r>
        <w:t xml:space="preserve"> </w:t>
      </w:r>
      <w:r>
        <w:t xml:space="preserve">= 0.104, SE = 0.038, p = .007). However, once TCI is included alongside DAI in Model M7, the DAI coefficient attenuates to</w:t>
      </w:r>
      <w:r>
        <w:t xml:space="preserve"> </w:t>
      </w:r>
      <m:oMath>
        <m:r>
          <m:t>β</m:t>
        </m:r>
      </m:oMath>
      <w:r>
        <w:t xml:space="preserve"> </w:t>
      </w:r>
      <w:r>
        <w:t xml:space="preserve">=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 .705), the linear interaction with FSTS is negative and marginal (</w:t>
      </w:r>
      <m:oMath>
        <m:r>
          <m:t>β</m:t>
        </m:r>
      </m:oMath>
      <w:r>
        <w:t xml:space="preserve"> </w:t>
      </w:r>
      <w:r>
        <w:t xml:space="preserve">= −1.177, p = .083), and the quadratic interaction term is positive and statistically significant (</w:t>
      </w:r>
      <m:oMath>
        <m:r>
          <m:t>β</m:t>
        </m:r>
      </m:oMath>
      <w:r>
        <w:t xml:space="preserve"> </w:t>
      </w:r>
      <w:r>
        <w:t xml:space="preserve">= 3.119, SE = 1.124, p =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w:t>
      </w:r>
      <w:r>
        <w:t xml:space="preserve"> </w:t>
      </w:r>
      <m:oMath>
        <m:r>
          <m:rPr>
            <m:sty m:val="p"/>
          </m:rPr>
          <m:t>≈</m:t>
        </m:r>
      </m:oMath>
      <w:r>
        <w:t xml:space="preserve"> </w:t>
      </w:r>
      <w:r>
        <w:t xml:space="preserve">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These effect sizes reinforce a cautious interpretation. A formal power analysis quantifies the implication: at</w:t>
      </w:r>
      <w:r>
        <w:t xml:space="preserve"> </w:t>
      </w:r>
      <m:oMath>
        <m:sSup>
          <m:e>
            <m:r>
              <m:t>f</m:t>
            </m:r>
          </m:e>
          <m:sup>
            <m:r>
              <m:t>2</m:t>
            </m:r>
          </m:sup>
        </m:sSup>
      </m:oMath>
      <w:r>
        <w:t xml:space="preserve">=0.018 with</w:t>
      </w:r>
      <w:r>
        <w:t xml:space="preserve"> </w:t>
      </w:r>
      <m:oMath>
        <m:r>
          <m:t>α</m:t>
        </m:r>
      </m:oMath>
      <w:r>
        <w:t xml:space="preserve">=.05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w:t>
      </w:r>
      <w:r>
        <w:t xml:space="preserve"> </w:t>
      </w:r>
      <m:oMath>
        <m:sSup>
          <m:e>
            <m:r>
              <m:t>f</m:t>
            </m:r>
          </m:e>
          <m:sup>
            <m:r>
              <m:t>2</m:t>
            </m:r>
          </m:sup>
        </m:sSup>
      </m:oMath>
      <w:r>
        <w:t xml:space="preserve">=0.018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w:t>
      </w:r>
      <w:r>
        <w:t xml:space="preserve"> </w:t>
      </w:r>
      <m:oMath>
        <m:r>
          <m:t>β</m:t>
        </m:r>
      </m:oMath>
      <w:r>
        <w:t xml:space="preserve">=+2.821, joint F p = .003)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significant (F = 6.32, p = .003),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w:t>
      </w:r>
      <m:oMath>
        <m:r>
          <m:t>β</m:t>
        </m:r>
      </m:oMath>
      <w:r>
        <w:t xml:space="preserve"> </w:t>
      </w:r>
      <w:r>
        <w:t xml:space="preserve">= 0.264, SE = 0.138, t = 1.92, p = .055), indicating mild selection at the extensive margin of export participation. The key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w:t>
      </w:r>
      <m:oMath>
        <m:r>
          <m:t>Δ</m:t>
        </m:r>
      </m:oMath>
      <w:r>
        <w:t xml:space="preserve">|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jc w:val="left"/>
            </w:pPr>
            <w:r>
              <w:t xml:space="preserve">Joint F (p)</w:t>
            </w:r>
          </w:p>
        </w:tc>
        <w:tc>
          <w:tcPr/>
          <w:p>
            <w:pPr>
              <w:pStyle w:val="Compact"/>
              <w:jc w:val="left"/>
            </w:pPr>
            <w:r>
              <w:t xml:space="preserve">Adj.</w:t>
            </w:r>
            <w:r>
              <w:t xml:space="preserve"> </w:t>
            </w:r>
            <m:oMath>
              <m:sSup>
                <m:e>
                  <m:r>
                    <m:t>R</m:t>
                  </m:r>
                </m:e>
                <m:sup>
                  <m:r>
                    <m:t>2</m:t>
                  </m:r>
                </m:sup>
              </m:sSup>
            </m:oMath>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signals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w:t>
      </w:r>
      <m:oMath>
        <m:r>
          <m:rPr>
            <m:sty m:val="p"/>
          </m:rPr>
          <m:t>≈</m:t>
        </m:r>
      </m:oMath>
      <w:r>
        <w:t xml:space="preserve">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w:t>
      </w:r>
      <m:oMath>
        <m:r>
          <m:t>β</m:t>
        </m:r>
      </m:oMath>
      <w:r>
        <w:t xml:space="preserve">=+3.119, p = .005)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w:t>
      </w:r>
      <m:oMath>
        <m:r>
          <m:t>β</m:t>
        </m:r>
      </m:oMath>
      <w:r>
        <w:t xml:space="preserve"> </w:t>
      </w:r>
      <w:r>
        <w:t xml:space="preserve">=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bookmarkEnd w:id="64"/>
    <w:bookmarkStart w:id="6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bookmarkEnd w:id="65"/>
    <w:bookmarkStart w:id="66" w:name="conflict-of-interest"/>
    <w:p>
      <w:pPr>
        <w:pStyle w:val="Heading2"/>
      </w:pPr>
      <w:r>
        <w:t xml:space="preserve">Conflict of Interest</w:t>
      </w:r>
    </w:p>
    <w:p>
      <w:pPr>
        <w:pStyle w:val="FirstParagraph"/>
      </w:pPr>
      <w:r>
        <w:t xml:space="preserve">The authors declare no conflict of interest.</w:t>
      </w:r>
    </w:p>
    <w:bookmarkEnd w:id="66"/>
    <w:bookmarkStart w:id="6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7"/>
    <w:bookmarkStart w:id="6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and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8"/>
    <w:bookmarkStart w:id="98"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9">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70">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71">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2">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3">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4">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5">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6">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7">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8">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9">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80">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1">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2">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3">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6">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7">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8">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9">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90">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1">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2">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3">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4">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5">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6">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7">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8"/>
    <w:bookmarkEnd w:id="9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5" Target="https://doi.org/10.1002/gsj.1336" TargetMode="External" /><Relationship Type="http://schemas.openxmlformats.org/officeDocument/2006/relationships/hyperlink" Id="rId80"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3" Target="https://doi.org/10.1016/j.ibusrev.2017.07.003" TargetMode="External" /><Relationship Type="http://schemas.openxmlformats.org/officeDocument/2006/relationships/hyperlink" Id="rId78"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70" Target="https://doi.org/10.1016/j.leaqua.2010.10.010" TargetMode="External" /><Relationship Type="http://schemas.openxmlformats.org/officeDocument/2006/relationships/hyperlink" Id="rId69" Target="https://doi.org/10.1037/0021-9010.90.1.94" TargetMode="External" /><Relationship Type="http://schemas.openxmlformats.org/officeDocument/2006/relationships/hyperlink" Id="rId79"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2" Target="https://doi.org/10.1057/s41267-019-00243-7" TargetMode="External" /><Relationship Type="http://schemas.openxmlformats.org/officeDocument/2006/relationships/hyperlink" Id="rId71"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77" Target="https://doi.org/10.1111/j.1468-0335.1937.tb00002.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3" Target="https://doi.org/10.1177/014920639101700108" TargetMode="External" /><Relationship Type="http://schemas.openxmlformats.org/officeDocument/2006/relationships/hyperlink" Id="rId75" Target="https://doi.org/10.1257/mac.20180386" TargetMode="External" /><Relationship Type="http://schemas.openxmlformats.org/officeDocument/2006/relationships/hyperlink" Id="rId76" Target="https://doi.org/10.2307/2393553" TargetMode="External" /><Relationship Type="http://schemas.openxmlformats.org/officeDocument/2006/relationships/hyperlink" Id="rId74"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2" Target="https://doi.org/10.5465/256948" TargetMode="External" /><Relationship Type="http://schemas.openxmlformats.org/officeDocument/2006/relationships/hyperlink" Id="rId81"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gsj.1336" TargetMode="External" /><Relationship Type="http://schemas.openxmlformats.org/officeDocument/2006/relationships/hyperlink" Id="rId80"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3" Target="https://doi.org/10.1016/j.ibusrev.2017.07.003" TargetMode="External" /><Relationship Type="http://schemas.openxmlformats.org/officeDocument/2006/relationships/hyperlink" Id="rId78"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70" Target="https://doi.org/10.1016/j.leaqua.2010.10.010" TargetMode="External" /><Relationship Type="http://schemas.openxmlformats.org/officeDocument/2006/relationships/hyperlink" Id="rId69" Target="https://doi.org/10.1037/0021-9010.90.1.94" TargetMode="External" /><Relationship Type="http://schemas.openxmlformats.org/officeDocument/2006/relationships/hyperlink" Id="rId79"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2" Target="https://doi.org/10.1057/s41267-019-00243-7" TargetMode="External" /><Relationship Type="http://schemas.openxmlformats.org/officeDocument/2006/relationships/hyperlink" Id="rId71"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77" Target="https://doi.org/10.1111/j.1468-0335.1937.tb00002.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3" Target="https://doi.org/10.1177/014920639101700108" TargetMode="External" /><Relationship Type="http://schemas.openxmlformats.org/officeDocument/2006/relationships/hyperlink" Id="rId75" Target="https://doi.org/10.1257/mac.20180386" TargetMode="External" /><Relationship Type="http://schemas.openxmlformats.org/officeDocument/2006/relationships/hyperlink" Id="rId76" Target="https://doi.org/10.2307/2393553" TargetMode="External" /><Relationship Type="http://schemas.openxmlformats.org/officeDocument/2006/relationships/hyperlink" Id="rId74"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2" Target="https://doi.org/10.5465/256948" TargetMode="External" /><Relationship Type="http://schemas.openxmlformats.org/officeDocument/2006/relationships/hyperlink" Id="rId81"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2026-06-02T03:27:35Z</dcterms:created>
  <dcterms:modified xsi:type="dcterms:W3CDTF">2026-06-02T03:27:35Z</dcterms:modified>
</cp:coreProperties>
</file>

<file path=docProps/custom.xml><?xml version="1.0" encoding="utf-8"?>
<Properties xmlns="http://schemas.openxmlformats.org/officeDocument/2006/custom-properties" xmlns:vt="http://schemas.openxmlformats.org/officeDocument/2006/docPropsVTypes"/>
</file>