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41.png" ContentType="image/png"/>
  <Override PartName="/word/media/rId45.png" ContentType="image/png"/>
  <Override PartName="/word/media/rId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2" w:name="Xeed239f9d2e1ce3a88fd46b256b65d8ab89b86a"/>
    <w:p>
      <w:pPr>
        <w:pStyle w:val="Heading1"/>
      </w:pPr>
      <w:r>
        <w:t xml:space="preserve">The Export Intensity–Performance Relationship in Chinese Private Firms: A Threshold-Stability Perspective</w:t>
      </w:r>
    </w:p>
    <w:p>
      <w:pPr>
        <w:pStyle w:val="FirstParagraph"/>
      </w:pPr>
      <w:r>
        <w:rPr>
          <w:iCs/>
          <w:i/>
        </w:rPr>
        <w:t xml:space="preserve">Author details removed for blind review</w:t>
      </w:r>
    </w:p>
    <w:p>
      <w:pPr>
        <w:pStyle w:val="BodyText"/>
      </w:pPr>
      <w:r>
        <w:rPr>
          <w:iCs/>
          <w:i/>
        </w:rPr>
        <w:t xml:space="preserve">Target journal: International Journal of Emerging Markets (IJOEM), Emerald Publishing</w:t>
      </w:r>
    </w:p>
    <w:p>
      <w:pPr>
        <w:pStyle w:val="BodyText"/>
      </w:pPr>
      <w:r>
        <w:rPr>
          <w:iCs/>
          <w:i/>
        </w:rPr>
        <w:t xml:space="preserve">2 June 2026</w:t>
      </w:r>
    </w:p>
    <w:p>
      <w:r>
        <w:pict>
          <v:rect style="width:0;height:1.5pt" o:hralign="center" o:hrstd="t" o:hr="t"/>
        </w:pict>
      </w:r>
    </w:p>
    <w:p>
      <w:pPr>
        <w:pStyle w:val="FirstParagraph"/>
      </w:pPr>
      <w:r>
        <w:rPr>
          <w:bCs/>
          <w:b/>
        </w:rPr>
        <w:t xml:space="preserve">Manuscript classification:</w:t>
      </w:r>
      <w:r>
        <w:t xml:space="preserve"> </w:t>
      </w:r>
      <w:r>
        <w:t xml:space="preserve">research article.</w:t>
      </w:r>
    </w:p>
    <w:p>
      <w:pPr>
        <w:pStyle w:val="BodyText"/>
      </w:pPr>
      <w:r>
        <w:rPr>
          <w:bCs/>
          <w:b/>
        </w:rPr>
        <w:t xml:space="preserve">Word count</w:t>
      </w:r>
      <w:r>
        <w:t xml:space="preserve"> </w:t>
      </w:r>
      <w:r>
        <w:t xml:space="preserve">(main text excluding abstract, references, tables and figures): approximately 7,200 words.</w:t>
      </w:r>
    </w:p>
    <w:p>
      <w:pPr>
        <w:pStyle w:val="BodyText"/>
      </w:pPr>
      <w:r>
        <w:rPr>
          <w:bCs/>
          <w:b/>
        </w:rPr>
        <w:t xml:space="preserve">Tables:</w:t>
      </w:r>
      <w:r>
        <w:t xml:space="preserve"> </w:t>
      </w:r>
      <w:r>
        <w:t xml:space="preserve">3 (Table 1 descriptives by wave; Table 2 main threshold model M2; Table 3 three-way moderation specification with joint F-tests).</w:t>
      </w:r>
    </w:p>
    <w:p>
      <w:pPr>
        <w:pStyle w:val="BodyText"/>
      </w:pPr>
      <w:r>
        <w:rPr>
          <w:bCs/>
          <w:b/>
        </w:rPr>
        <w:t xml:space="preserve">Figures:</w:t>
      </w:r>
      <w:r>
        <w:t xml:space="preserve"> </w:t>
      </w:r>
      <w:r>
        <w:t xml:space="preserve">4 (Figure 1 conceptual model; Figure 2 turning-point estimates with 95% CIs; Figure 3 predicted I-P curves by wave; Figure 4 capability level-shift coefficients).</w:t>
      </w:r>
    </w:p>
    <w:p>
      <w:r>
        <w:pict>
          <v:rect style="width:0;height:1.5pt" o:hralign="center" o:hrstd="t" o:hr="t"/>
        </w:pict>
      </w:r>
    </w:p>
    <w:bookmarkStart w:id="20" w:name="abstract"/>
    <w:p>
      <w:pPr>
        <w:pStyle w:val="Heading2"/>
      </w:pPr>
      <w:r>
        <w:t xml:space="preserve">Abstract</w:t>
      </w:r>
    </w:p>
    <w:p>
      <w:pPr>
        <w:pStyle w:val="FirstParagraph"/>
      </w:pPr>
      <w:r>
        <w:rPr>
          <w:bCs/>
          <w:b/>
        </w:rPr>
        <w:t xml:space="preserve">Purpose.</w:t>
      </w:r>
      <w:r>
        <w:t xml:space="preserve"> </w:t>
      </w:r>
      <w:r>
        <w:t xml:space="preserve">This study examines whether the inverted-U relationship between export intensity and firm performance among Chinese private firms is structurally durable or wave-specific, and clarifies the roles of technological capability and foundational digital adoption.</w:t>
      </w:r>
    </w:p>
    <w:p>
      <w:pPr>
        <w:pStyle w:val="BodyText"/>
      </w:pPr>
      <w:r>
        <w:rPr>
          <w:bCs/>
          <w:b/>
        </w:rPr>
        <w:t xml:space="preserve">Design/methodology/approach.</w:t>
      </w:r>
      <w:r>
        <w:t xml:space="preserve"> </w:t>
      </w:r>
      <w:r>
        <w:t xml:space="preserve">Drawing on World Bank Enterprise Survey microdata for China (2012, N = 2,610; 2024, N = 1,934; pooled N = 4,544), we estimate quadratic models with full cross-wave and capability interactions.</w:t>
      </w:r>
    </w:p>
    <w:p>
      <w:pPr>
        <w:pStyle w:val="BodyText"/>
      </w:pPr>
      <w:r>
        <w:rPr>
          <w:bCs/>
          <w:b/>
        </w:rPr>
        <w:t xml:space="preserve">Findings.</w:t>
      </w:r>
      <w:r>
        <w:t xml:space="preserve"> </w:t>
      </w:r>
      <w:r>
        <w:t xml:space="preserve">Paternoster z-tests do not reject cross-wave equality (FSTS z = +0.82, p = .412;</w:t>
      </w:r>
      <w:r>
        <w:t xml:space="preserve"> </w:t>
      </w:r>
      <m:oMath>
        <m:sSup>
          <m:e>
            <m:r>
              <m:rPr>
                <m:nor/>
                <m:sty m:val="p"/>
              </m:rPr>
              <m:t>FSTS</m:t>
            </m:r>
          </m:e>
          <m:sup>
            <m:r>
              <m:t>2</m:t>
            </m:r>
          </m:sup>
        </m:sSup>
      </m:oMath>
      <w:r>
        <w:t xml:space="preserve"> </w:t>
      </w:r>
      <w:r>
        <w:t xml:space="preserve">z = −0.61, p = .545); joint F-test null (F(2, 3,558) = 2.24, p = .107). Turning points remain in a tight 47–49 % band with overlapping CIs. TCI is robustly positive (</w:t>
      </w:r>
      <m:oMath>
        <m:sSub>
          <m:e>
            <m:r>
              <m:t>β</m:t>
            </m:r>
          </m:e>
          <m:sub>
            <m:r>
              <m:t>z</m:t>
            </m:r>
          </m:sub>
        </m:sSub>
      </m:oMath>
      <w:r>
        <w:t xml:space="preserve"> </w:t>
      </w:r>
      <w:r>
        <w:t xml:space="preserve">= +0.28 and +0.43); Tier-1 website proxy positive in 2024; neither moderates curvature (three-way F = 0.27, p = .760).</w:t>
      </w:r>
    </w:p>
    <w:p>
      <w:pPr>
        <w:pStyle w:val="BodyText"/>
      </w:pPr>
      <w:r>
        <w:rPr>
          <w:bCs/>
          <w:b/>
        </w:rPr>
        <w:t xml:space="preserve">Research limitations/implications.</w:t>
      </w:r>
      <w:r>
        <w:t xml:space="preserve"> </w:t>
      </w:r>
      <w:r>
        <w:t xml:space="preserve">Repeated cross-sections support associational inference only. Tier-1 digital indicators saturate the data.</w:t>
      </w:r>
    </w:p>
    <w:p>
      <w:pPr>
        <w:pStyle w:val="BodyText"/>
      </w:pPr>
      <w:r>
        <w:rPr>
          <w:bCs/>
          <w:b/>
        </w:rPr>
        <w:t xml:space="preserve">Practical implications.</w:t>
      </w:r>
      <w:r>
        <w:t xml:space="preserve"> </w:t>
      </w:r>
      <w:r>
        <w:t xml:space="preserve">The 47–49% FSTS band is</w:t>
      </w:r>
      <w:r>
        <w:t xml:space="preserve"> </w:t>
      </w:r>
      <w:r>
        <w:rPr>
          <w:iCs/>
          <w:i/>
        </w:rPr>
        <w:t xml:space="preserve">structurally durable</w:t>
      </w:r>
      <w:r>
        <w:t xml:space="preserve"> </w:t>
      </w:r>
      <w:r>
        <w:t xml:space="preserve">across 12 years — long-horizon investment planning can treat it as a stable benchmark. Capability investment alone does not push the threshold; complementary trade-finance / market-access factors are needed.</w:t>
      </w:r>
    </w:p>
    <w:p>
      <w:pPr>
        <w:pStyle w:val="BodyText"/>
      </w:pPr>
      <w:r>
        <w:rPr>
          <w:bCs/>
          <w:b/>
        </w:rPr>
        <w:t xml:space="preserve">Social implications.</w:t>
      </w:r>
      <w:r>
        <w:t xml:space="preserve"> </w:t>
      </w:r>
      <w:r>
        <w:t xml:space="preserve">Implications for China's Belt and Road and dual-circulation policy: the optimum export-intensity range is institutionally embedded; pushing above the durable threshold may misallocate productive capacity.</w:t>
      </w:r>
    </w:p>
    <w:p>
      <w:pPr>
        <w:pStyle w:val="BodyText"/>
      </w:pPr>
      <w:r>
        <w:rPr>
          <w:bCs/>
          <w:b/>
        </w:rPr>
        <w:t xml:space="preserve">Originality/value.</w:t>
      </w:r>
      <w:r>
        <w:t xml:space="preserve"> </w:t>
      </w:r>
      <w:r>
        <w:t xml:space="preserve">Structural durability (H2b) is confirmed over environmental shift (H2a): despite 12 years of substantial change (post-GFC, China–US tariffs, COVID-19, digital maturation), the Chinese I-P trade-off is durably structural. Informs the cross-country meta-analytic heterogeneity puzzle.</w:t>
      </w:r>
    </w:p>
    <w:p>
      <w:pPr>
        <w:pStyle w:val="BodyText"/>
      </w:pPr>
      <w:r>
        <w:rPr>
          <w:bCs/>
          <w:b/>
        </w:rPr>
        <w:t xml:space="preserve">Keywords:</w:t>
      </w:r>
      <w:r>
        <w:t xml:space="preserve"> </w:t>
      </w:r>
      <w:r>
        <w:t xml:space="preserve">internationalisation–performance; export intensity; threshold stability; technological capability; digital adoption; Chinese private firms; World Bank Enterprise Survey.</w:t>
      </w:r>
    </w:p>
    <w:p>
      <w:pPr>
        <w:pStyle w:val="BodyText"/>
      </w:pPr>
      <w:r>
        <w:rPr>
          <w:bCs/>
          <w:b/>
        </w:rPr>
        <w:t xml:space="preserve">JEL classification:</w:t>
      </w:r>
      <w:r>
        <w:t xml:space="preserve"> </w:t>
      </w:r>
      <w:r>
        <w:t xml:space="preserve">F23 (multinational firms; international business); O33 (technological change: choices and consequences); D22 (firm behaviour: empirical analysis); L25 (firm performance); O53 (economywide country studies: Asia including Middle East).</w:t>
      </w:r>
    </w:p>
    <w:p>
      <w:pPr>
        <w:pStyle w:val="BodyText"/>
      </w:pPr>
      <w:r>
        <w:rPr>
          <w:bCs/>
          <w:b/>
        </w:rPr>
        <w:t xml:space="preserve">Paper type:</w:t>
      </w:r>
      <w:r>
        <w:t xml:space="preserve"> </w:t>
      </w:r>
      <w:r>
        <w:t xml:space="preserve">Research paper.</w:t>
      </w:r>
    </w:p>
    <w:p>
      <w:r>
        <w:pict>
          <v:rect style="width:0;height:1.5pt" o:hralign="center" o:hrstd="t" o:hr="t"/>
        </w:pict>
      </w:r>
    </w:p>
    <w:bookmarkEnd w:id="20"/>
    <w:bookmarkStart w:id="21" w:name="highlights"/>
    <w:p>
      <w:pPr>
        <w:pStyle w:val="Heading2"/>
      </w:pPr>
      <w:r>
        <w:t xml:space="preserve">Highlights</w:t>
      </w:r>
    </w:p>
    <w:p>
      <w:pPr>
        <w:numPr>
          <w:ilvl w:val="0"/>
          <w:numId w:val="1001"/>
        </w:numPr>
      </w:pPr>
      <w:r>
        <w:t xml:space="preserve">Inverted-U export-intensity threshold in Chinese private firms: 49.4 % (2012); 47.2 % (2024).</w:t>
      </w:r>
    </w:p>
    <w:p>
      <w:pPr>
        <w:numPr>
          <w:ilvl w:val="0"/>
          <w:numId w:val="1001"/>
        </w:numPr>
      </w:pPr>
      <w:r>
        <w:t xml:space="preserve">Structural durability confirmed: Paternoster z-tests p = .412 / .545; joint F p = .107.</w:t>
      </w:r>
    </w:p>
    <w:p>
      <w:pPr>
        <w:numPr>
          <w:ilvl w:val="0"/>
          <w:numId w:val="1001"/>
        </w:numPr>
      </w:pPr>
      <w:r>
        <w:t xml:space="preserve">Technological capability is a robust level-shifter but does not moderate curvature.</w:t>
      </w:r>
    </w:p>
    <w:p>
      <w:pPr>
        <w:numPr>
          <w:ilvl w:val="0"/>
          <w:numId w:val="1001"/>
        </w:numPr>
      </w:pPr>
      <w:r>
        <w:t xml:space="preserve">Tier-1 digital presence (own website) modestly raises productivity baseline only.</w:t>
      </w:r>
    </w:p>
    <w:p>
      <w:pPr>
        <w:numPr>
          <w:ilvl w:val="0"/>
          <w:numId w:val="1001"/>
        </w:numPr>
      </w:pPr>
      <w:r>
        <w:t xml:space="preserve">Single-country temporal stability informs cross-country meta-analytic heterogeneity puzzle.</w:t>
      </w:r>
    </w:p>
    <w:p>
      <w:r>
        <w:pict>
          <v:rect style="width:0;height:1.5pt" o:hralign="center" o:hrstd="t" o:hr="t"/>
        </w:pict>
      </w:r>
    </w:p>
    <w:bookmarkEnd w:id="21"/>
    <w:bookmarkStart w:id="22" w:name="Xe3d0fc0bea9a42ce7605565d0964033d7f6ee47"/>
    <w:p>
      <w:pPr>
        <w:pStyle w:val="Heading2"/>
      </w:pPr>
      <w:r>
        <w:t xml:space="preserve">1. Introduction</w:t>
      </w:r>
    </w:p>
    <w:p>
      <w:pPr>
        <w:pStyle w:val="FirstParagraph"/>
      </w:pPr>
      <w:r>
        <w:t xml:space="preserve">The internationalization–performance (I–P) relationship is one of the longest-standing questions in international business research. A substantial literature now favours a nonlinear inverted-U: performance rises at low–moderate internationalization and declines once foreign exposure becomes excessive (Hitt, Hoskisson, &amp; Kim, 1997; Contractor, Kundu, &amp; Hsu, 2003; Lu &amp; Beamish, 2004; Marano et al., 2016; Schwens et al., 2018). A more demanding question — taken up here — is whether the implied turning point is a</w:t>
      </w:r>
      <w:r>
        <w:t xml:space="preserve"> </w:t>
      </w:r>
      <w:r>
        <w:rPr>
          <w:iCs/>
          <w:i/>
        </w:rPr>
        <w:t xml:space="preserve">durable structural feature</w:t>
      </w:r>
      <w:r>
        <w:t xml:space="preserve"> </w:t>
      </w:r>
      <w:r>
        <w:t xml:space="preserve">of a setting or a sample-specific regularity that evolves as institutional and competitive conditions change. The "too-much-of-a-good-thing" pattern is well established (Pierce &amp; Aguinis, 2013); its temporal robustness within a single national context has rarely been examined. For private firms in emerging economies, where financing constraints are tight and overextension costs bite harder than for large MNEs, the location and stability of an optimal internationalization range carry direct strategic and policy weight (Buckley et al., 2007; Bausch &amp; Krist, 2007).</w:t>
      </w:r>
    </w:p>
    <w:p>
      <w:pPr>
        <w:pStyle w:val="BodyText"/>
      </w:pPr>
      <w:r>
        <w:t xml:space="preserve">China provides a powerful setting. The 2012–2024 window spans the post-2008 trade re-equilibration, deepening GVC participation (Kano, Tsang, &amp; Yeung, 2020), the China–US tariff escalation, COVID-19 disruption and supply-chain re-routing, digital-infrastructure maturation (Hanelt et al., 2021; Vial, 2019), and SME credit/trade-finance reforms. Average labour productivity in the analytic samples rose from</w:t>
      </w:r>
      <w:r>
        <w:t xml:space="preserve"> </w:t>
      </w:r>
      <m:oMath>
        <m:r>
          <m:rPr>
            <m:sty m:val="p"/>
          </m:rPr>
          <m:t>ln</m:t>
        </m:r>
      </m:oMath>
      <w:r>
        <w:t xml:space="preserve"> </w:t>
      </w:r>
      <w:r>
        <w:t xml:space="preserve">12.52 to 13.01 (≈64 % level premium) and average firm age from 12.6 to 13.9 years. Under conventional theory, several of these changes should have</w:t>
      </w:r>
      <w:r>
        <w:t xml:space="preserve"> </w:t>
      </w:r>
      <w:r>
        <w:rPr>
          <w:iCs/>
          <w:i/>
        </w:rPr>
        <w:t xml:space="preserve">shifted</w:t>
      </w:r>
      <w:r>
        <w:t xml:space="preserve"> </w:t>
      </w:r>
      <w:r>
        <w:t xml:space="preserve">the inverted-U turning point by raising upper-tail returns (capability strengthening) or softening the downturn (improved trade finance). Whether the predicted shift materialises has not been directly tested for China post-GFC, post-COVID.</w:t>
      </w:r>
    </w:p>
    <w:p>
      <w:pPr>
        <w:pStyle w:val="BodyText"/>
      </w:pPr>
      <w:r>
        <w:t xml:space="preserve">The companion study (Author Citation, 2026 — JFAR) establishes the shape and digital level-shift role for Chinese manufacturing SMEs in a single wave (cubic turning point ≈47.8 %). The present paper addresses the conceptually distinct temporal-stability question by (a) extending to the full WBES private-firm frame (broader sector coverage than manufacturing-only), (b) adopting a quadratic specification suited to that frame's distributional properties, and (c) conducting formal Paternoster z-tests and a pooled cross-wave F-test on parameter equality. Author Citation (2026 — VEFR) sets the broader cross-country emerging-Asia context; the present paper holds country fixed.</w:t>
      </w:r>
    </w:p>
    <w:p>
      <w:pPr>
        <w:pStyle w:val="BodyText"/>
      </w:pPr>
      <w:r>
        <w:t xml:space="preserve">Theoretically, multiple mechanisms — GVC sophistication (Kano et al., 2020), absorptive-capacity strengthening (Lall, 1992; Cohen &amp; Levinthal, 1990), trade-finance institutional evolution (Manova, 2013; Demir &amp; Javorcik, 2018) — predict cross-wave shift. Following the discipline that strong directional priors should be tested against data rather than assumed (Antonakis et al., 2010; Meyer, van Witteloostuijn, &amp; Beugelsdijk, 2017; Eden &amp; Nielsen, 2020), we frame competing H2a (predicted shift) and H2b (structural durability) hypotheses. The estimation combines wave-by-wave OLS-HC1 + Lind-Mehlum U-tests, Paternoster z-tests on coefficients, and a pooled three-way moderation specification that adds FSTS ×</w:t>
      </w:r>
      <w:r>
        <w:t xml:space="preserve"> </w:t>
      </w:r>
      <m:oMath>
        <m:sSub>
          <m:e>
            <m:r>
              <m:t>D</m:t>
            </m:r>
          </m:e>
          <m:sub>
            <m:r>
              <m:t>2024</m:t>
            </m:r>
          </m:sub>
        </m:sSub>
      </m:oMath>
      <w:r>
        <w:t xml:space="preserve">, FSTS × Tech, and FSTS ×</w:t>
      </w:r>
      <w:r>
        <w:t xml:space="preserve"> </w:t>
      </w:r>
      <m:oMath>
        <m:sSub>
          <m:e>
            <m:r>
              <m:t>D</m:t>
            </m:r>
          </m:e>
          <m:sub>
            <m:r>
              <m:t>2024</m:t>
            </m:r>
          </m:sub>
        </m:sSub>
      </m:oMath>
      <w:r>
        <w:t xml:space="preserve"> </w:t>
      </w:r>
      <w:r>
        <w:t xml:space="preserve">× Tech interactions to evaluate cross-wave shift, capability moderation, and capability-conditioned dynamic moderation respectively. A supplementary working-capital test uses WBES proxies for liquidity access, financing structure, and access-to-finance obstacle, with a 2012-only robustness extension into receivables exposure (Manova, 2013). We report associations, not effects (Shaver, 2020).</w:t>
      </w:r>
    </w:p>
    <w:p>
      <w:pPr>
        <w:pStyle w:val="BodyText"/>
      </w:pPr>
      <w:r>
        <w:t xml:space="preserve">The study makes four contributions. First, it identifies an optimal export-intensity threshold at ≈48 % FSTS with a managerial safe operating zone of 30–60 %, complementing the JFAR 47.8 % cubic turning point with full-private-firm-frame quadratic evidence across a second wave a decade later. Second, the central contribution is</w:t>
      </w:r>
      <w:r>
        <w:t xml:space="preserve"> </w:t>
      </w:r>
      <w:r>
        <w:rPr>
          <w:bCs/>
          <w:b/>
        </w:rPr>
        <w:t xml:space="preserve">cross-wave structural durability</w:t>
      </w:r>
      <w:r>
        <w:t xml:space="preserve">: despite plausible shift mechanisms, the data fail to reject equality of the inverted-U coefficients between 2012 and 2024 in both Paternoster z-tests and the joint F-test; three additional null moderation channels converge on the same conclusion. Third, technological capability operates robustly as a</w:t>
      </w:r>
      <w:r>
        <w:t xml:space="preserve"> </w:t>
      </w:r>
      <w:r>
        <w:rPr>
          <w:iCs/>
          <w:i/>
        </w:rPr>
        <w:t xml:space="preserve">level-shifter</w:t>
      </w:r>
      <w:r>
        <w:t xml:space="preserve"> </w:t>
      </w:r>
      <w:r>
        <w:t xml:space="preserve">rather than a curvature moderator, distinguishing capability's strategic role from its conjectured role in moderating the trade-off itself. Fourth, the within-country temporal-stability finding speaks to the meta-analytic heterogeneity puzzle (Marano et al., 2016; Schwens et al., 2018; Filatotchev et al., 2020) and to the cross-national skepticism of Pisani, Garcia-Bernardo, and Heemskerk (2020): single-country institutional contexts can preserve a functional-form regularity that cross-national pooled samples obscure through aggregation heterogeneity. The working-capital-trap interpretation (Manova, 2013) is theoretically grounded but not directly identified in the present data.</w:t>
      </w:r>
    </w:p>
    <w:p>
      <w:pPr>
        <w:pStyle w:val="BodyText"/>
      </w:pPr>
      <w:r>
        <w:t xml:space="preserve">The paper proceeds: §2 theory and hypotheses; §3 data and methods; §4 results (threshold replication, cross-wave shift test, capability moderation, supplementary working-capital tests, manufacturing-only robustness); §5 discussion; §6 limitations and future research.</w:t>
      </w:r>
    </w:p>
    <w:bookmarkEnd w:id="22"/>
    <w:bookmarkStart w:id="31" w:name="X8bf20a63f0decf7b16e99d564b9958ec4fbbb23"/>
    <w:p>
      <w:pPr>
        <w:pStyle w:val="Heading2"/>
      </w:pPr>
      <w:r>
        <w:t xml:space="preserve">2. Theory and Hypotheses</w:t>
      </w:r>
    </w:p>
    <w:bookmarkStart w:id="23" w:name="X34b87408929da77ac1ebf08c0936df485f6c164"/>
    <w:p>
      <w:pPr>
        <w:pStyle w:val="Heading3"/>
      </w:pPr>
      <w:r>
        <w:t xml:space="preserve">2.1 Internationalization and firm performance</w:t>
      </w:r>
    </w:p>
    <w:p>
      <w:pPr>
        <w:pStyle w:val="FirstParagraph"/>
      </w:pPr>
      <w:r>
        <w:t xml:space="preserve">The internationalization–performance relationship is unlikely to be linear for smaller private firms in emerging economies (Lu &amp; Beamish, 2004; Hennart, 2007). At lower to moderate levels, exporting enlarges market reach, spreads fixed costs, and stimulates learning and quality discipline (Lu &amp; Beamish, 2004; Wagner, 2007). Three theoretical traditions converge: the resource-based view (returns rise as idiosyncratic resources amortise over wider sales bases — Lall, 1992; Teece, 2007); transaction-cost (returns rise as long as governance capacity scales — Hennart, 2007; Contractor, 2007); and dynamic capabilities (higher-order sensing/seizing routines compound returns — Teece, 2007).</w:t>
      </w:r>
    </w:p>
    <w:p>
      <w:pPr>
        <w:pStyle w:val="BodyText"/>
      </w:pPr>
      <w:r>
        <w:t xml:space="preserve">The advantages are bounded. As firms deepen internationalization, coordination demands, market volatility, logistics complexity, and managerial burdens rise (Hennart, 2007; Contractor, 2007), with sharper consequences for smaller firms that have narrower financial slack and organisational depth (Buckley et al., 2007). Chinese-firm evidence confirms the pattern (Xiao et al., 2013; Feng et al., 2019); cross-country meta-analyses show the inverted-U is robust but its turning-point location varies substantially across studies (Marano et al., 2016; Schwens et al., 2018) — motivating the more demanding question of</w:t>
      </w:r>
      <w:r>
        <w:t xml:space="preserve"> </w:t>
      </w:r>
      <w:r>
        <w:rPr>
          <w:iCs/>
          <w:i/>
        </w:rPr>
        <w:t xml:space="preserve">where the turning point sits in a particular setting and whether it stays there</w:t>
      </w:r>
      <w:r>
        <w:t xml:space="preserve">. The relevant expectation is therefore an inverted-U bounded by "too-much-of-a-good-thing" mechanics (Pierce &amp; Aguinis, 2013; Haans, Pieters, &amp; He, 2016).</w:t>
      </w:r>
    </w:p>
    <w:p>
      <w:pPr>
        <w:pStyle w:val="BlockText"/>
      </w:pPr>
      <w:r>
        <w:rPr>
          <w:bCs/>
          <w:b/>
        </w:rPr>
        <w:t xml:space="preserve">Hypothesis 1 (H1).</w:t>
      </w:r>
      <w:r>
        <w:t xml:space="preserve"> </w:t>
      </w:r>
      <w:r>
        <w:t xml:space="preserve">Firm internationalization, measured as export intensity, has an inverted U‑shaped relationship with firm performance among Chinese private firms.</w:t>
      </w:r>
    </w:p>
    <w:bookmarkEnd w:id="23"/>
    <w:bookmarkStart w:id="24" w:name="X14bc9c6e7d57aa476ccb6bf980009c80af3e4fc"/>
    <w:p>
      <w:pPr>
        <w:pStyle w:val="Heading3"/>
      </w:pPr>
      <w:r>
        <w:t xml:space="preserve">2.2 Temporal shift of the internationalization threshold</w:t>
      </w:r>
    </w:p>
    <w:p>
      <w:pPr>
        <w:pStyle w:val="FirstParagraph"/>
      </w:pPr>
      <w:r>
        <w:t xml:space="preserve">A more demanding question than identifying the inverted-U is whether the turning point is</w:t>
      </w:r>
      <w:r>
        <w:t xml:space="preserve"> </w:t>
      </w:r>
      <w:r>
        <w:rPr>
          <w:bCs/>
          <w:b/>
        </w:rPr>
        <w:t xml:space="preserve">stable over time</w:t>
      </w:r>
      <w:r>
        <w:t xml:space="preserve"> </w:t>
      </w:r>
      <w:r>
        <w:t xml:space="preserve">(Haans et al., 2016; Pierce &amp; Aguinis, 2013). The 2012–2024 window in China spans the post-2008 trade re-equilibration, China–US tariff escalation, COVID-19 disruption, digital-infrastructure maturation (Author Citation, 2026 — VEFR), and deepening GVC participation (Kano, Tsang, &amp; Yeung, 2020). Three mechanisms predict that the inverted-U</w:t>
      </w:r>
      <w:r>
        <w:t xml:space="preserve"> </w:t>
      </w:r>
      <w:r>
        <w:rPr>
          <w:iCs/>
          <w:i/>
        </w:rPr>
        <w:t xml:space="preserve">should shift</w:t>
      </w:r>
      <w:r>
        <w:t xml:space="preserve">: rising GVC sophistication pushes the turning point rightward (Kano et al., 2020); strengthening absorptive capacity flattens the post-threshold tail (Lall, 1992; Cohen &amp; Levinthal, 1990); and trade-finance / SME credit reform softens the right-tail working-capital constraint (Manova, 2013; Foley &amp; Manova, 2015; Niepmann &amp; Schmidt-Eisenlohr, 2017; Demir &amp; Javorcik, 2018). If reform eased the binding constraint, the curvature</w:t>
      </w:r>
      <w:r>
        <w:t xml:space="preserve"> </w:t>
      </w:r>
      <m:oMath>
        <m:sSub>
          <m:e>
            <m:r>
              <m:t>β</m:t>
            </m:r>
          </m:e>
          <m:sub>
            <m:r>
              <m:t>2</m:t>
            </m:r>
          </m:sub>
        </m:sSub>
      </m:oMath>
      <w:r>
        <w:t xml:space="preserve"> </w:t>
      </w:r>
      <w:r>
        <w:t xml:space="preserve">on</w:t>
      </w:r>
      <w:r>
        <w:t xml:space="preserve"> </w:t>
      </w:r>
      <m:oMath>
        <m:sSup>
          <m:e>
            <m:r>
              <m:rPr>
                <m:sty m:val="p"/>
              </m:rPr>
              <m:t>F</m:t>
            </m:r>
            <m:r>
              <m:rPr>
                <m:sty m:val="p"/>
              </m:rPr>
              <m:t>S</m:t>
            </m:r>
            <m:r>
              <m:rPr>
                <m:sty m:val="p"/>
              </m:rPr>
              <m:t>T</m:t>
            </m:r>
            <m:r>
              <m:rPr>
                <m:sty m:val="p"/>
              </m:rPr>
              <m:t>S</m:t>
            </m:r>
          </m:e>
          <m:sup>
            <m:r>
              <m:t>2</m:t>
            </m:r>
          </m:sup>
        </m:sSup>
      </m:oMath>
      <w:r>
        <w:t xml:space="preserve"> </w:t>
      </w:r>
      <w:r>
        <w:t xml:space="preserve">in 2024 should be smaller in magnitude than in 2012.</w:t>
      </w:r>
    </w:p>
    <w:p>
      <w:pPr>
        <w:pStyle w:val="BodyText"/>
      </w:pPr>
      <w:r>
        <w:t xml:space="preserve">An equally plausible counter-argument (H2b) holds that the threshold reflects deep firm-level constraints — coordination capacity, financial slack, organisational depth (Hennart, 2007; Buckley et al., 2007) — that change only slowly. Friction costs in cross-border transactions exhibit institutional lock-in (North, 1990) and may be only partially relaxed by macro-level reforms within a decade. Under H2b, no significant shift would be observed, constituting a positive structural-durability finding rather than a methodological failure. Placing H2a and H2b as competing hypotheses provides the most informative empirical design.</w:t>
      </w:r>
    </w:p>
    <w:p>
      <w:pPr>
        <w:pStyle w:val="BlockText"/>
      </w:pPr>
      <w:r>
        <w:rPr>
          <w:bCs/>
          <w:b/>
        </w:rPr>
        <w:t xml:space="preserve">Hypothesis 2a (H2a).</w:t>
      </w:r>
      <w:r>
        <w:t xml:space="preserve"> </w:t>
      </w:r>
      <w:r>
        <w:t xml:space="preserve">The shape of the inverted U‑shaped relationship between export intensity and firm performance among Chinese private firms differs between the 2012 and 2024 waves, reflecting changes in the operating environment and competitive structure of the Chinese economy over the intervening decade.</w:t>
      </w:r>
    </w:p>
    <w:p>
      <w:pPr>
        <w:pStyle w:val="BlockText"/>
      </w:pPr>
      <w:r>
        <w:rPr>
          <w:bCs/>
          <w:b/>
        </w:rPr>
        <w:t xml:space="preserve">Hypothesis 2b (H2b).</w:t>
      </w:r>
      <w:r>
        <w:t xml:space="preserve"> </w:t>
      </w:r>
      <w:r>
        <w:t xml:space="preserve">The shape of the inverted U‑shaped relationship between export intensity and firm performance among Chinese private firms is structurally durable across the 2012 and 2024 waves, reflecting deep firm-level constraints, coordination capacity, financial slack, and organisational depth, that persist despite environmental change.</w:t>
      </w:r>
    </w:p>
    <w:bookmarkEnd w:id="24"/>
    <w:bookmarkStart w:id="25" w:name="X8121cb1b48fe36d2174325168dd4479f3cf09f9"/>
    <w:p>
      <w:pPr>
        <w:pStyle w:val="Heading3"/>
      </w:pPr>
      <w:r>
        <w:t xml:space="preserve">2.3 Working-capital pressure and the post-threshold downturn</w:t>
      </w:r>
    </w:p>
    <w:p>
      <w:pPr>
        <w:pStyle w:val="FirstParagraph"/>
      </w:pPr>
      <w:r>
        <w:t xml:space="preserve">A theoretically coherent mechanism for the downturn segment is intensified working-capital pressure (Manova, 2013). Exporting firms face a timing gap between delivery outlays and revenue realisation when sales are on credit, payment terms are delayed, or trade-finance access is imperfect (Foley &amp; Manova, 2015; Niepmann &amp; Schmidt-Eisenlohr, 2017; Demir &amp; Javorcik, 2018). As export intensity rises, a larger share of firm activity becomes tied to transactions with longer cash-conversion dynamics. Firms with weaker liquidity access, heavier receivables exposure, or greater reliance on internally financed working capital should exhibit a steeper post-threshold tail than liquidity-rich firms — making working-capital position a conditioner of the downturn's steepness rather than a replacement for the bounded-optimum logic.</w:t>
      </w:r>
    </w:p>
    <w:p>
      <w:pPr>
        <w:pStyle w:val="BodyText"/>
      </w:pPr>
      <w:r>
        <w:t xml:space="preserve">Given limited cross-wave comparability of WBES proxies — notably the absence of the best receivables-exposure indicators (k1c, k2c) from the 2024 release — this channel is not formalised as a hypothesis. Supplementary analyses in Section 4.5 probe it descriptively; the Discussion (§5.2) carries the argument forward as the primary candidate for future research.</w:t>
      </w:r>
    </w:p>
    <w:bookmarkEnd w:id="25"/>
    <w:bookmarkStart w:id="26" w:name="X848172186bbc9820f95075e145d0e231c99a26a"/>
    <w:p>
      <w:pPr>
        <w:pStyle w:val="Heading3"/>
      </w:pPr>
      <w:r>
        <w:t xml:space="preserve">2.4 Technological capability and digital adoption as moderators</w:t>
      </w:r>
    </w:p>
    <w:p>
      <w:pPr>
        <w:pStyle w:val="FirstParagraph"/>
      </w:pPr>
      <w:r>
        <w:t xml:space="preserve">Technological capability, in the Lall (1992) absorptive-capacity tradition (foreign-licensed technology, quality certification, product innovation, R&amp;D), should be positively associated with productivity because capable firms convert export activity into output more efficiently (Cohen &amp; Levinthal, 1990). At higher FSTS, capability may also moderate curvature by buffering coordination/overextension costs (Teece, 2007): the marginal cost of further internationalization rises more slowly for absorptively capable firms.</w:t>
      </w:r>
    </w:p>
    <w:p>
      <w:pPr>
        <w:pStyle w:val="BodyText"/>
      </w:pPr>
      <w:r>
        <w:t xml:space="preserve">Digital adoption is a focal mechanism in the recent transformation literature (Bharadwaj et al., 2013; Vial, 2019; Verhoef et al., 2021; Hanelt et al., 2021). Capability-conditioned dynamics may evolve: as Chinese firms accumulate digital and technological resources, the buffering effect on the downturn could strengthen between 2012 and 2024 (Author Citation, 2026 — VEFR), a prediction tested via the three-way FSTS</w:t>
      </w:r>
      <m:oMath>
        <m:sSup>
          <m:e>
            <m:r>
              <m:t>​</m:t>
            </m:r>
          </m:e>
          <m:sup>
            <m:r>
              <m:t>2</m:t>
            </m:r>
          </m:sup>
        </m:sSup>
      </m:oMath>
      <w:r>
        <w:t xml:space="preserve"> </w:t>
      </w:r>
      <w:r>
        <w:t xml:space="preserve">×</w:t>
      </w:r>
      <w:r>
        <w:t xml:space="preserve"> </w:t>
      </w:r>
      <m:oMath>
        <m:sSub>
          <m:e>
            <m:r>
              <m:t>D</m:t>
            </m:r>
          </m:e>
          <m:sub>
            <m:r>
              <m:t>2024</m:t>
            </m:r>
          </m:sub>
        </m:sSub>
      </m:oMath>
      <w:r>
        <w:t xml:space="preserve"> </w:t>
      </w:r>
      <w:r>
        <w:t xml:space="preserve">× Tech specification (§3.5). The WBES capability proxies are</w:t>
      </w:r>
      <w:r>
        <w:t xml:space="preserve"> </w:t>
      </w:r>
      <w:r>
        <w:rPr>
          <w:iCs/>
          <w:i/>
        </w:rPr>
        <w:t xml:space="preserve">lower-tier</w:t>
      </w:r>
      <w:r>
        <w:t xml:space="preserve"> </w:t>
      </w:r>
      <w:r>
        <w:t xml:space="preserve">operationalisations:</w:t>
      </w:r>
      <w:r>
        <w:t xml:space="preserve"> </w:t>
      </w:r>
      <m:oMath>
        <m:sSub>
          <m:e>
            <m:r>
              <m:rPr>
                <m:sty m:val="p"/>
              </m:rPr>
              <m:t>T</m:t>
            </m:r>
            <m:r>
              <m:rPr>
                <m:sty m:val="p"/>
              </m:rPr>
              <m:t>C</m:t>
            </m:r>
            <m:r>
              <m:rPr>
                <m:sty m:val="p"/>
              </m:rPr>
              <m:t>I</m:t>
            </m:r>
          </m:e>
          <m:sub>
            <m:r>
              <m:rPr>
                <m:nor/>
                <m:sty m:val="p"/>
              </m:rPr>
              <m:t>full</m:t>
            </m:r>
          </m:sub>
        </m:sSub>
      </m:oMath>
      <w:r>
        <w:t xml:space="preserve"> </w:t>
      </w:r>
      <w:r>
        <w:t xml:space="preserve">uses four binary indicators;</w:t>
      </w:r>
      <w:r>
        <w:t xml:space="preserve"> </w:t>
      </w:r>
      <m:oMath>
        <m:sSub>
          <m:e>
            <m:r>
              <m:rPr>
                <m:sty m:val="p"/>
              </m:rPr>
              <m:t>D</m:t>
            </m:r>
            <m:r>
              <m:rPr>
                <m:sty m:val="p"/>
              </m:rPr>
              <m:t>A</m:t>
            </m:r>
            <m:r>
              <m:rPr>
                <m:sty m:val="p"/>
              </m:rPr>
              <m:t>I</m:t>
            </m:r>
          </m:e>
          <m:sub>
            <m:r>
              <m:rPr>
                <m:nor/>
                <m:sty m:val="p"/>
              </m:rPr>
              <m:t>core</m:t>
            </m:r>
          </m:sub>
        </m:sSub>
      </m:oMath>
      <w:r>
        <w:t xml:space="preserve"> </w:t>
      </w:r>
      <w:r>
        <w:t xml:space="preserve">captures only Tier-1 digital presence. The hypotheses therefore test the minimal viable version of capability moderation that the WBES instrument can support.</w:t>
      </w:r>
    </w:p>
    <w:p>
      <w:pPr>
        <w:pStyle w:val="BlockText"/>
      </w:pPr>
      <w:r>
        <w:rPr>
          <w:bCs/>
          <w:b/>
        </w:rPr>
        <w:t xml:space="preserve">Hypothesis 4a (H4a).</w:t>
      </w:r>
      <w:r>
        <w:t xml:space="preserve"> </w:t>
      </w:r>
      <w:r>
        <w:t xml:space="preserve">Higher technological capability is positively associated with firm performance and moderates the curvature of the inverted U-shaped relationship between export intensity and firm performance among Chinese private firms.</w:t>
      </w:r>
    </w:p>
    <w:p>
      <w:pPr>
        <w:pStyle w:val="FirstParagraph"/>
      </w:pPr>
      <w:r>
        <w:t xml:space="preserve">Because</w:t>
      </w:r>
      <w:r>
        <w:t xml:space="preserve"> </w:t>
      </w:r>
      <m:oMath>
        <m:sSub>
          <m:e>
            <m:r>
              <m:rPr>
                <m:sty m:val="p"/>
              </m:rPr>
              <m:t>D</m:t>
            </m:r>
            <m:r>
              <m:rPr>
                <m:sty m:val="p"/>
              </m:rPr>
              <m:t>A</m:t>
            </m:r>
            <m:r>
              <m:rPr>
                <m:sty m:val="p"/>
              </m:rPr>
              <m:t>I</m:t>
            </m:r>
          </m:e>
          <m:sub>
            <m:r>
              <m:rPr>
                <m:nor/>
                <m:sty m:val="p"/>
              </m:rPr>
              <m:t>core</m:t>
            </m:r>
          </m:sub>
        </m:sSub>
      </m:oMath>
      <w:r>
        <w:t xml:space="preserve"> </w:t>
      </w:r>
      <w:r>
        <w:t xml:space="preserve">in this WBES data reduces to a single binary item (c22b, own-website presence) — effectively an organisational hygiene factor in 2024 China —</w:t>
      </w:r>
      <w:r>
        <w:t xml:space="preserve"> </w:t>
      </w:r>
      <w:r>
        <w:rPr>
          <w:bCs/>
          <w:b/>
        </w:rPr>
        <w:t xml:space="preserve">H4b is not formalised as a testable hypothesis</w:t>
      </w:r>
      <w:r>
        <w:t xml:space="preserve">.</w:t>
      </w:r>
      <w:r>
        <w:t xml:space="preserve"> </w:t>
      </w:r>
      <m:oMath>
        <m:sSub>
          <m:e>
            <m:r>
              <m:rPr>
                <m:sty m:val="p"/>
              </m:rPr>
              <m:t>D</m:t>
            </m:r>
            <m:r>
              <m:rPr>
                <m:sty m:val="p"/>
              </m:rPr>
              <m:t>A</m:t>
            </m:r>
            <m:r>
              <m:rPr>
                <m:sty m:val="p"/>
              </m:rPr>
              <m:t>I</m:t>
            </m:r>
          </m:e>
          <m:sub>
            <m:r>
              <m:rPr>
                <m:nor/>
                <m:sty m:val="p"/>
              </m:rPr>
              <m:t>core</m:t>
            </m:r>
          </m:sub>
        </m:sSub>
      </m:oMath>
      <w:r>
        <w:t xml:space="preserve"> </w:t>
      </w:r>
      <w:r>
        <w:t xml:space="preserve">is retained as a Tier-1 control absorbing website-ownership variance; its level association with productivity is reported descriptively. Future tests of digital-capability moderation require Tier 2–4 indicators not available cross-wave in WBES China.</w:t>
      </w:r>
    </w:p>
    <w:bookmarkEnd w:id="26"/>
    <w:bookmarkStart w:id="30" w:name="Xd220370935321604b8cdfc5a5895802593c0b72"/>
    <w:p>
      <w:pPr>
        <w:pStyle w:val="Heading3"/>
      </w:pPr>
      <w:r>
        <w:t xml:space="preserve">2.5 Conceptual model</w:t>
      </w:r>
    </w:p>
    <w:p>
      <w:pPr>
        <w:pStyle w:val="FirstParagraph"/>
      </w:pPr>
      <w:r>
        <w:t xml:space="preserve">Figure 1 summarises the model: the two FSTS terms flow into</w:t>
      </w:r>
      <w:r>
        <w:t xml:space="preserve"> </w:t>
      </w:r>
      <m:oMath>
        <m:r>
          <m:rPr>
            <m:sty m:val="p"/>
          </m:rPr>
          <m:t>ln</m:t>
        </m:r>
        <m:d>
          <m:dPr>
            <m:begChr m:val="("/>
            <m:endChr m:val=")"/>
            <m:sepChr m:val=""/>
            <m:grow/>
          </m:dPr>
          <m:e>
            <m:r>
              <m:rPr>
                <m:sty m:val="p"/>
              </m:rPr>
              <m:t>L</m:t>
            </m:r>
            <m:r>
              <m:rPr>
                <m:sty m:val="p"/>
              </m:rPr>
              <m:t>P</m:t>
            </m:r>
          </m:e>
        </m:d>
      </m:oMath>
      <w:r>
        <w:t xml:space="preserve"> </w:t>
      </w:r>
      <w:r>
        <w:t xml:space="preserve">with H1 predicting inverted-U curvature;</w:t>
      </w:r>
      <w:r>
        <w:t xml:space="preserve"> </w:t>
      </w:r>
      <m:oMath>
        <m:sSub>
          <m:e>
            <m:r>
              <m:t>D</m:t>
            </m:r>
          </m:e>
          <m:sub>
            <m:r>
              <m:t>2024</m:t>
            </m:r>
          </m:sub>
        </m:sSub>
      </m:oMath>
      <w:r>
        <w:t xml:space="preserve"> </w:t>
      </w:r>
      <w:r>
        <w:t xml:space="preserve">enters via dashed shift arrows to the FSTS /</w:t>
      </w:r>
      <w:r>
        <w:t xml:space="preserve"> </w:t>
      </w:r>
      <m:oMath>
        <m:sSup>
          <m:e>
            <m:r>
              <m:rPr>
                <m:sty m:val="p"/>
              </m:rPr>
              <m:t>F</m:t>
            </m:r>
            <m:r>
              <m:rPr>
                <m:sty m:val="p"/>
              </m:rPr>
              <m:t>S</m:t>
            </m:r>
            <m:r>
              <m:rPr>
                <m:sty m:val="p"/>
              </m:rPr>
              <m:t>T</m:t>
            </m:r>
            <m:r>
              <m:rPr>
                <m:sty m:val="p"/>
              </m:rPr>
              <m:t>S</m:t>
            </m:r>
          </m:e>
          <m:sup>
            <m:r>
              <m:t>2</m:t>
            </m:r>
          </m:sup>
        </m:sSup>
      </m:oMath>
      <w:r>
        <w:t xml:space="preserve"> </w:t>
      </w:r>
      <w:r>
        <w:t xml:space="preserve">terms (H2); working-capital conditions appear as a dashed exploratory block (§4.5); TCI (H4a) is a direct level-shifter and candidate curvature moderator;</w:t>
      </w:r>
      <w:r>
        <w:t xml:space="preserve"> </w:t>
      </w:r>
      <m:oMath>
        <m:sSub>
          <m:e>
            <m:r>
              <m:rPr>
                <m:sty m:val="p"/>
              </m:rPr>
              <m:t>D</m:t>
            </m:r>
            <m:r>
              <m:rPr>
                <m:sty m:val="p"/>
              </m:rPr>
              <m:t>A</m:t>
            </m:r>
            <m:r>
              <m:rPr>
                <m:sty m:val="p"/>
              </m:rPr>
              <m:t>I</m:t>
            </m:r>
          </m:e>
          <m:sub>
            <m:r>
              <m:rPr>
                <m:nor/>
                <m:sty m:val="p"/>
              </m:rPr>
              <m:t>core</m:t>
            </m:r>
          </m:sub>
        </m:sSub>
      </m:oMath>
      <w:r>
        <w:t xml:space="preserve"> </w:t>
      </w:r>
      <w:r>
        <w:t xml:space="preserve">is a Tier-1 control (no formal hypothesis). Solid arrows mark the primary H1/H2 predictions; dashed arrows mark exploratory H3/H4 moderation.</w:t>
      </w:r>
    </w:p>
    <w:p>
      <w:pPr>
        <w:pStyle w:val="BodyText"/>
      </w:pPr>
      <w:r>
        <w:drawing>
          <wp:inline>
            <wp:extent cx="5753100" cy="3970799"/>
            <wp:effectExtent b="0" l="0" r="0" t="0"/>
            <wp:docPr descr="Figure 1: Conceptual model: bounded I–P and temporal shift, Chinese private firms" title="" id="28" name="Picture"/>
            <a:graphic>
              <a:graphicData uri="http://schemas.openxmlformats.org/drawingml/2006/picture">
                <pic:pic>
                  <pic:nvPicPr>
                    <pic:cNvPr descr="figures/p5_china/figure_1_conceptual_model.png" id="29" name="Picture"/>
                    <pic:cNvPicPr>
                      <a:picLocks noChangeArrowheads="1" noChangeAspect="1"/>
                    </pic:cNvPicPr>
                  </pic:nvPicPr>
                  <pic:blipFill>
                    <a:blip r:embed="rId27"/>
                    <a:stretch>
                      <a:fillRect/>
                    </a:stretch>
                  </pic:blipFill>
                  <pic:spPr bwMode="auto">
                    <a:xfrm>
                      <a:off x="0" y="0"/>
                      <a:ext cx="5753100" cy="3970799"/>
                    </a:xfrm>
                    <a:prstGeom prst="rect">
                      <a:avLst/>
                    </a:prstGeom>
                    <a:noFill/>
                    <a:ln w="9525">
                      <a:noFill/>
                      <a:headEnd/>
                      <a:tailEnd/>
                    </a:ln>
                  </pic:spPr>
                </pic:pic>
              </a:graphicData>
            </a:graphic>
          </wp:inline>
        </w:drawing>
      </w:r>
    </w:p>
    <w:p>
      <w:pPr>
        <w:pStyle w:val="BlockText"/>
      </w:pPr>
      <w:r>
        <w:rPr>
          <w:bCs/>
          <w:b/>
        </w:rPr>
        <w:t xml:space="preserve">Figure 1.</w:t>
      </w:r>
      <w:r>
        <w:t xml:space="preserve"> </w:t>
      </w:r>
      <w:r>
        <w:t xml:space="preserve">Conceptual model for P5: bounded internationalization–performance and predicted temporal shift among Chinese private firms. Boxes denote firm‑level constructs (export intensity FSTS,</w:t>
      </w:r>
      <w:r>
        <w:t xml:space="preserve"> </w:t>
      </w:r>
      <m:oMath>
        <m:sSup>
          <m:e>
            <m:r>
              <m:rPr>
                <m:sty m:val="p"/>
              </m:rPr>
              <m:t>F</m:t>
            </m:r>
            <m:r>
              <m:rPr>
                <m:sty m:val="p"/>
              </m:rPr>
              <m:t>S</m:t>
            </m:r>
            <m:r>
              <m:rPr>
                <m:sty m:val="p"/>
              </m:rPr>
              <m:t>T</m:t>
            </m:r>
            <m:r>
              <m:rPr>
                <m:sty m:val="p"/>
              </m:rPr>
              <m:t>S</m:t>
            </m:r>
          </m:e>
          <m:sup>
            <m:r>
              <m:t>2</m:t>
            </m:r>
          </m:sup>
        </m:sSup>
      </m:oMath>
      <w:r>
        <w:t xml:space="preserve">; technological capability TCI; digital adoption DAI; controls; outcome ln(LP)); a</w:t>
      </w:r>
      <w:r>
        <w:t xml:space="preserve"> </w:t>
      </w:r>
      <m:oMath>
        <m:sSub>
          <m:e>
            <m:r>
              <m:t>D</m:t>
            </m:r>
          </m:e>
          <m:sub>
            <m:r>
              <m:t>2024</m:t>
            </m:r>
          </m:sub>
        </m:sSub>
      </m:oMath>
      <w:r>
        <w:t xml:space="preserve"> </w:t>
      </w:r>
      <w:r>
        <w:t xml:space="preserve">dummy explicitly enters the model. Solid arrows mark the primary directional hypotheses (H1 inverted‑U curvature; H2 temporal shift via wave</w:t>
      </w:r>
      <m:oMath>
        <m:r>
          <m:rPr>
            <m:sty m:val="p"/>
          </m:rPr>
          <m:t>×</m:t>
        </m:r>
      </m:oMath>
      <w:r>
        <w:t xml:space="preserve">FSTS interactions; H4a TCI level shift and curvature moderation;</w:t>
      </w:r>
      <w:r>
        <w:t xml:space="preserve"> </w:t>
      </w:r>
      <m:oMath>
        <m:sSub>
          <m:e>
            <m:r>
              <m:rPr>
                <m:sty m:val="p"/>
              </m:rPr>
              <m:t>D</m:t>
            </m:r>
            <m:r>
              <m:rPr>
                <m:sty m:val="p"/>
              </m:rPr>
              <m:t>A</m:t>
            </m:r>
            <m:r>
              <m:rPr>
                <m:sty m:val="p"/>
              </m:rPr>
              <m:t>I</m:t>
            </m:r>
          </m:e>
          <m:sub>
            <m:r>
              <m:rPr>
                <m:nor/>
                <m:sty m:val="p"/>
              </m:rPr>
              <m:t>core</m:t>
            </m:r>
          </m:sub>
        </m:sSub>
      </m:oMath>
      <w:r>
        <w:t xml:space="preserve"> </w:t>
      </w:r>
      <w:r>
        <w:t xml:space="preserve">baseline-control level association (not a formal hypothesis)). The dashed working-capital block and dashed dynamic-moderation arrows reflect exploratory mechanism analyses evaluated in Section 4.5.</w:t>
      </w:r>
    </w:p>
    <w:bookmarkEnd w:id="30"/>
    <w:bookmarkEnd w:id="31"/>
    <w:bookmarkStart w:id="39" w:name="X5eb800a903106e48a684e9ea9de39ed619b9df8"/>
    <w:p>
      <w:pPr>
        <w:pStyle w:val="Heading2"/>
      </w:pPr>
      <w:r>
        <w:t xml:space="preserve">3. Data and Methods</w:t>
      </w:r>
    </w:p>
    <w:bookmarkStart w:id="33" w:name="X7539fb3dc2f98232f41138bc75cab658563f4ee"/>
    <w:p>
      <w:pPr>
        <w:pStyle w:val="Heading3"/>
      </w:pPr>
      <w:r>
        <w:t xml:space="preserve">3.1 Data</w:t>
      </w:r>
    </w:p>
    <w:p>
      <w:pPr>
        <w:pStyle w:val="FirstParagraph"/>
      </w:pPr>
      <w:r>
        <w:t xml:space="preserve">The analytic dataset combines two waves of the World Bank Enterprise Survey for China: 2012 (2,700 firms; World Bank, 2013) and 2024 (2,189 firms; World Bank, 2025). After listwise deletion on the focal set (sales, employees, export intensity) and treatment of WBES non-response codes -9/-7 (and 2024's additional -8 refusal code) as missing, the analytic samples are 2,619 firms (2012), 1,940 firms (2024), and 4,559 firm-year observations pooled. The sample is drawn from the full WBES private-firm frame (services, retail, IT, construction included alongside manufacturing), with sectoral composition absorbed by ISIC stratum dummies (</w:t>
      </w:r>
      <w:r>
        <w:rPr>
          <w:rStyle w:val="VerbatimChar"/>
        </w:rPr>
        <w:t xml:space="preserve">a4a</w:t>
      </w:r>
      <w:r>
        <w:t xml:space="preserve">); a manufacturing-only robustness check appears in Section 4.6.</w:t>
      </w:r>
    </w:p>
    <w:p>
      <w:pPr>
        <w:pStyle w:val="BodyText"/>
      </w:pPr>
      <w:r>
        <w:t xml:space="preserve">After focal-control listwise filtering, the reported analytic samples are N = 2,610 (2012), N = 1,934 (2024), and N = 4,544 (pooled).</w:t>
      </w:r>
      <w:r>
        <w:t xml:space="preserve"> </w:t>
      </w:r>
      <m:oMath>
        <m:sSub>
          <m:e>
            <m:r>
              <m:rPr>
                <m:sty m:val="p"/>
              </m:rPr>
              <m:t>T</m:t>
            </m:r>
            <m:r>
              <m:rPr>
                <m:sty m:val="p"/>
              </m:rPr>
              <m:t>C</m:t>
            </m:r>
            <m:r>
              <m:rPr>
                <m:sty m:val="p"/>
              </m:rPr>
              <m:t>I</m:t>
            </m:r>
          </m:e>
          <m:sub>
            <m:r>
              <m:rPr>
                <m:nor/>
                <m:sty m:val="p"/>
              </m:rPr>
              <m:t>full</m:t>
            </m:r>
          </m:sub>
        </m:sSub>
      </m:oMath>
      <w:r>
        <w:t xml:space="preserve"> </w:t>
      </w:r>
      <w:r>
        <w:t xml:space="preserve">and</w:t>
      </w:r>
      <w:r>
        <w:t xml:space="preserve"> </w:t>
      </w:r>
      <m:oMath>
        <m:sSub>
          <m:e>
            <m:r>
              <m:rPr>
                <m:sty m:val="p"/>
              </m:rPr>
              <m:t>D</m:t>
            </m:r>
            <m:r>
              <m:rPr>
                <m:sty m:val="p"/>
              </m:rPr>
              <m:t>A</m:t>
            </m:r>
            <m:r>
              <m:rPr>
                <m:sty m:val="p"/>
              </m:rPr>
              <m:t>I</m:t>
            </m:r>
          </m:e>
          <m:sub>
            <m:r>
              <m:rPr>
                <m:nor/>
                <m:sty m:val="p"/>
              </m:rPr>
              <m:t>core</m:t>
            </m:r>
          </m:sub>
        </m:sSub>
      </m:oMath>
      <w:r>
        <w:t xml:space="preserve"> </w:t>
      </w:r>
      <w:r>
        <w:t xml:space="preserve">are within-wave z-standardised before pooling. Sample sizes, turning-point estimates, Paternoster z-tests, and joint F-tests have been verified in an independent Python replication of the Stata pipeline. The WBES microdata are publicly available at</w:t>
      </w:r>
      <w:r>
        <w:t xml:space="preserve"> </w:t>
      </w:r>
      <w:hyperlink r:id="rId32">
        <w:r>
          <w:rPr>
            <w:rStyle w:val="Hyperlink"/>
          </w:rPr>
          <w:t xml:space="preserve">https://www.enterprisesurveys.org/en/data</w:t>
        </w:r>
      </w:hyperlink>
      <w:r>
        <w:t xml:space="preserve"> </w:t>
      </w:r>
      <w:r>
        <w:t xml:space="preserve">subject to World Bank registration and the WBES Data Access Protocol; the replication package references the download endpoint rather than redistributing .dta files.</w:t>
      </w:r>
    </w:p>
    <w:bookmarkEnd w:id="33"/>
    <w:bookmarkStart w:id="34" w:name="Xbcf9f12e79107fa2c089aaf13fc6c4fb773f1c2"/>
    <w:p>
      <w:pPr>
        <w:pStyle w:val="Heading3"/>
      </w:pPr>
      <w:r>
        <w:t xml:space="preserve">3.2 Variables</w:t>
      </w:r>
    </w:p>
    <w:p>
      <w:pPr>
        <w:pStyle w:val="FirstParagraph"/>
      </w:pPr>
      <w:r>
        <w:t xml:space="preserve">The dependent variable is log labour productivity,</w:t>
      </w:r>
      <w:r>
        <w:t xml:space="preserve"> </w:t>
      </w:r>
      <m:oMath>
        <m:r>
          <m:rPr>
            <m:sty m:val="p"/>
          </m:rPr>
          <m:t>ln</m:t>
        </m:r>
        <m:d>
          <m:dPr>
            <m:begChr m:val="("/>
            <m:endChr m:val=")"/>
            <m:sepChr m:val=""/>
            <m:grow/>
          </m:dPr>
          <m:e>
            <m:r>
              <m:rPr>
                <m:sty m:val="p"/>
              </m:rPr>
              <m:t>L</m:t>
            </m:r>
            <m:r>
              <m:rPr>
                <m:sty m:val="p"/>
              </m:rPr>
              <m:t>P</m:t>
            </m:r>
          </m:e>
        </m:d>
      </m:oMath>
      <w:r>
        <w:t xml:space="preserve"> </w:t>
      </w:r>
      <w:r>
        <w:t xml:space="preserve">= ln(d2 / l1), where d2 is total annual sales (denominated in local currency unit) and l1 is the number of permanent full‑time employees, both reported in the WBES instrument (Avenyo, Tregenna, &amp; Kraemer‑Mbula, 2021).</w:t>
      </w:r>
    </w:p>
    <w:p>
      <w:pPr>
        <w:pStyle w:val="BodyText"/>
      </w:pPr>
      <w:r>
        <w:t xml:space="preserve">The focal independent variable is direct‑export intensity (FSTS), measured as d3c / 100, with</w:t>
      </w:r>
      <w:r>
        <w:t xml:space="preserve"> </w:t>
      </w:r>
      <m:oMath>
        <m:sSup>
          <m:e>
            <m:r>
              <m:rPr>
                <m:sty m:val="p"/>
              </m:rPr>
              <m:t>F</m:t>
            </m:r>
            <m:r>
              <m:rPr>
                <m:sty m:val="p"/>
              </m:rPr>
              <m:t>S</m:t>
            </m:r>
            <m:r>
              <m:rPr>
                <m:sty m:val="p"/>
              </m:rPr>
              <m:t>T</m:t>
            </m:r>
            <m:r>
              <m:rPr>
                <m:sty m:val="p"/>
              </m:rPr>
              <m:t>S</m:t>
            </m:r>
          </m:e>
          <m:sup>
            <m:r>
              <m:t>2</m:t>
            </m:r>
          </m:sup>
        </m:sSup>
      </m:oMath>
      <w:r>
        <w:t xml:space="preserve"> </w:t>
      </w:r>
      <w:r>
        <w:t xml:space="preserve">capturing the inverted‑U curvature.</w:t>
      </w:r>
    </w:p>
    <w:p>
      <w:pPr>
        <w:pStyle w:val="BodyText"/>
      </w:pPr>
      <w:r>
        <w:t xml:space="preserve">Two construct composites enter the model as both direct effects and (per H4a/H4b) as candidate moderators of curvature:</w:t>
      </w:r>
    </w:p>
    <w:p>
      <w:pPr>
        <w:pStyle w:val="BodyText"/>
      </w:pPr>
      <m:oMath>
        <m:sSub>
          <m:e>
            <m:r>
              <m:rPr>
                <m:sty m:val="p"/>
              </m:rPr>
              <m:t>T</m:t>
            </m:r>
            <m:r>
              <m:rPr>
                <m:sty m:val="p"/>
              </m:rPr>
              <m:t>C</m:t>
            </m:r>
            <m:r>
              <m:rPr>
                <m:sty m:val="p"/>
              </m:rPr>
              <m:t>I</m:t>
            </m:r>
          </m:e>
          <m:sub>
            <m:r>
              <m:rPr>
                <m:nor/>
                <m:sty m:val="p"/>
              </m:rPr>
              <m:t>full</m:t>
            </m:r>
          </m:sub>
        </m:sSub>
      </m:oMath>
      <w:r>
        <w:t xml:space="preserve"> </w:t>
      </w:r>
      <w:r>
        <w:t xml:space="preserve">is the within‑wave z‑standardised mean of four binary indicators recoded from WBES 1/2 to 1/0: foreign‑licensed technology (e6), internationally‑recognised quality certification (b8), product innovation (h1 in 2024 / CNo1 in 2012), and R&amp;D spending (h8 in 2024 / CNo3 in 2012). Following the convention of the China replication patch,</w:t>
      </w:r>
      <w:r>
        <w:t xml:space="preserve"> </w:t>
      </w:r>
      <m:oMath>
        <m:sSub>
          <m:e>
            <m:r>
              <m:rPr>
                <m:sty m:val="p"/>
              </m:rPr>
              <m:t>T</m:t>
            </m:r>
            <m:r>
              <m:rPr>
                <m:sty m:val="p"/>
              </m:rPr>
              <m:t>C</m:t>
            </m:r>
            <m:r>
              <m:rPr>
                <m:sty m:val="p"/>
              </m:rPr>
              <m:t>I</m:t>
            </m:r>
          </m:e>
          <m:sub>
            <m:r>
              <m:rPr>
                <m:nor/>
                <m:sty m:val="p"/>
              </m:rPr>
              <m:t>full</m:t>
            </m:r>
          </m:sub>
        </m:sSub>
      </m:oMath>
      <w:r>
        <w:t xml:space="preserve"> </w:t>
      </w:r>
      <w:r>
        <w:t xml:space="preserve">requires at least three of four items to be non‑missing.</w:t>
      </w:r>
    </w:p>
    <w:p>
      <w:pPr>
        <w:pStyle w:val="BodyText"/>
      </w:pPr>
      <m:oMath>
        <m:sSub>
          <m:e>
            <m:r>
              <m:rPr>
                <m:sty m:val="p"/>
              </m:rPr>
              <m:t>D</m:t>
            </m:r>
            <m:r>
              <m:rPr>
                <m:sty m:val="p"/>
              </m:rPr>
              <m:t>A</m:t>
            </m:r>
            <m:r>
              <m:rPr>
                <m:sty m:val="p"/>
              </m:rPr>
              <m:t>I</m:t>
            </m:r>
          </m:e>
          <m:sub>
            <m:r>
              <m:rPr>
                <m:nor/>
                <m:sty m:val="p"/>
              </m:rPr>
              <m:t>core</m:t>
            </m:r>
          </m:sub>
        </m:sSub>
      </m:oMath>
      <w:r>
        <w:t xml:space="preserve"> </w:t>
      </w:r>
      <w:r>
        <w:t xml:space="preserve">is the within-wave z-standardised value of a single binary indicator, own-website presence (c22b). An earlier two-item DAI composite combining c22b with e6 was retired because e6 is theoretically a Lall (1992) capability indicator (now reserved for TCI). In 2024 China, website ownership is a basic organisational hygiene factor;</w:t>
      </w:r>
      <w:r>
        <w:t xml:space="preserve"> </w:t>
      </w:r>
      <m:oMath>
        <m:sSub>
          <m:e>
            <m:r>
              <m:rPr>
                <m:sty m:val="p"/>
              </m:rPr>
              <m:t>D</m:t>
            </m:r>
            <m:r>
              <m:rPr>
                <m:sty m:val="p"/>
              </m:rPr>
              <m:t>A</m:t>
            </m:r>
            <m:r>
              <m:rPr>
                <m:sty m:val="p"/>
              </m:rPr>
              <m:t>I</m:t>
            </m:r>
          </m:e>
          <m:sub>
            <m:r>
              <m:rPr>
                <m:nor/>
                <m:sty m:val="p"/>
              </m:rPr>
              <m:t>core</m:t>
            </m:r>
          </m:sub>
        </m:sSub>
      </m:oMath>
      <w:r>
        <w:t xml:space="preserve"> </w:t>
      </w:r>
      <w:r>
        <w:t xml:space="preserve">functions as a Tier-1 control absorbing baseline digital presence, not as a theoretically motivated moderator. No cross-wave-comparable Tier-2 digital indicator exists in WBES China for both waves.</w:t>
      </w:r>
    </w:p>
    <w:p>
      <w:pPr>
        <w:pStyle w:val="BodyText"/>
      </w:pPr>
      <w:r>
        <w:rPr>
          <w:bCs/>
          <w:b/>
        </w:rPr>
        <w:t xml:space="preserve">Quadratic vs cubic specification.</w:t>
      </w:r>
      <w:r>
        <w:t xml:space="preserve"> </w:t>
      </w:r>
      <w:r>
        <w:t xml:space="preserve">The present paper uses a quadratic (inverted-U) specification because the full WBES private-firm frame (mean FSTS = 6.9 %/5.2 %; only 15.4 %/12.6 % of firms with positive FSTS) has insufficient distributional mass at high FSTS to identify a cubic inflection precisely. The companion JFAR manufacturing-only analysis (Author Citation, 2026) uses cubic because its sample (mean FSTS ≈ 23.7 %) has more mass in the upper tail; both estimates locate the threshold in the 47–49 % band.</w:t>
      </w:r>
    </w:p>
    <w:p>
      <w:pPr>
        <w:pStyle w:val="BodyText"/>
      </w:pPr>
      <w:r>
        <w:rPr>
          <w:bCs/>
          <w:b/>
        </w:rPr>
        <w:t xml:space="preserve">Controls</w:t>
      </w:r>
      <w:r>
        <w:t xml:space="preserve"> </w:t>
      </w:r>
      <w:r>
        <w:t xml:space="preserve">include log permanent employees (</w:t>
      </w:r>
      <m:oMath>
        <m:r>
          <m:rPr>
            <m:sty m:val="p"/>
          </m:rPr>
          <m:t>ln</m:t>
        </m:r>
        <m:d>
          <m:dPr>
            <m:begChr m:val="("/>
            <m:endChr m:val=")"/>
            <m:sepChr m:val=""/>
            <m:grow/>
          </m:dPr>
          <m:e>
            <m:r>
              <m:rPr>
                <m:sty m:val="p"/>
              </m:rPr>
              <m:t>E</m:t>
            </m:r>
            <m:r>
              <m:rPr>
                <m:sty m:val="p"/>
              </m:rPr>
              <m:t>m</m:t>
            </m:r>
            <m:r>
              <m:rPr>
                <m:sty m:val="p"/>
              </m:rPr>
              <m:t>p</m:t>
            </m:r>
          </m:e>
        </m:d>
      </m:oMath>
      <w:r>
        <w:t xml:space="preserve">), firm age (survey year minus b5), and a foreign‑ownership dummy (1 if b2b</w:t>
      </w:r>
      <w:r>
        <w:t xml:space="preserve"> </w:t>
      </w:r>
      <m:oMath>
        <m:r>
          <m:rPr>
            <m:sty m:val="p"/>
          </m:rPr>
          <m:t>≥</m:t>
        </m:r>
      </m:oMath>
      <w:r>
        <w:t xml:space="preserve"> </w:t>
      </w:r>
      <w:r>
        <w:t xml:space="preserve">10 %). The pooled specification additionally includes a</w:t>
      </w:r>
      <w:r>
        <w:t xml:space="preserve"> </w:t>
      </w:r>
      <m:oMath>
        <m:sSub>
          <m:e>
            <m:r>
              <m:t>D</m:t>
            </m:r>
          </m:e>
          <m:sub>
            <m:r>
              <m:t>2024</m:t>
            </m:r>
          </m:sub>
        </m:sSub>
      </m:oMath>
      <w:r>
        <w:t xml:space="preserve"> </w:t>
      </w:r>
      <w:r>
        <w:t xml:space="preserve">dummy (1 if 2024, 0 if 2012) and is estimated with cluster-robust standard errors on the firm identifier</w:t>
      </w:r>
      <w:r>
        <w:t xml:space="preserve"> </w:t>
      </w:r>
      <w:r>
        <w:rPr>
          <w:rStyle w:val="VerbatimChar"/>
        </w:rPr>
        <w:t xml:space="preserve">idstd</w:t>
      </w:r>
      <w:r>
        <w:t xml:space="preserve"> </w:t>
      </w:r>
      <w:r>
        <w:t xml:space="preserve">to handle the 217 panel firms that appear in both 2012 and 2024 waves.</w:t>
      </w:r>
    </w:p>
    <w:p>
      <w:pPr>
        <w:pStyle w:val="BodyText"/>
      </w:pPr>
      <w:r>
        <w:t xml:space="preserve">For the supplementary working‑capital analysis (Plan B1, see Section 3.4), we operationalise three blocks of cross‑wave‑comparable WBES items:</w:t>
      </w:r>
    </w:p>
    <w:p>
      <w:pPr>
        <w:numPr>
          <w:ilvl w:val="0"/>
          <w:numId w:val="1002"/>
        </w:numPr>
        <w:pStyle w:val="Compact"/>
      </w:pPr>
      <w:r>
        <w:rPr>
          <w:bCs/>
          <w:b/>
        </w:rPr>
        <w:t xml:space="preserve">Block A, Liquidity Access:</w:t>
      </w:r>
      <w:r>
        <w:t xml:space="preserve"> </w:t>
      </w:r>
      <w:r>
        <w:t xml:space="preserve">overdraft facility (k7, binary recoded to 1 = yes), line of credit / loan (k8 in 2012, k82 in 2024, harmonised binary by collapsing 2024's four‑level ordinal k82 ∈ {1, 2} into 1).</w:t>
      </w:r>
    </w:p>
    <w:p>
      <w:pPr>
        <w:numPr>
          <w:ilvl w:val="0"/>
          <w:numId w:val="1002"/>
        </w:numPr>
        <w:pStyle w:val="Compact"/>
      </w:pPr>
      <w:r>
        <w:rPr>
          <w:bCs/>
          <w:b/>
        </w:rPr>
        <w:t xml:space="preserve">Block C — Financing Structure:</w:t>
      </w:r>
      <w:r>
        <w:t xml:space="preserve"> </w:t>
      </w:r>
      <w:r>
        <w:t xml:space="preserve">shares of working capital financed internally (k3a), by banks (k3bc), and via trade credit from suppliers (k3f). These are continuous percentage variables that the WBES validation check confirms sum to within [95 %, 105 %] for 97 % of firms in 2012 and 94 % of firms in 2024.</w:t>
      </w:r>
    </w:p>
    <w:p>
      <w:pPr>
        <w:numPr>
          <w:ilvl w:val="0"/>
          <w:numId w:val="1002"/>
        </w:numPr>
        <w:pStyle w:val="Compact"/>
      </w:pPr>
      <w:r>
        <w:rPr>
          <w:bCs/>
          <w:b/>
        </w:rPr>
        <w:t xml:space="preserve">Block D — Access‑to‑finance obstacle:</w:t>
      </w:r>
      <w:r>
        <w:t xml:space="preserve"> </w:t>
      </w:r>
      <w:r>
        <w:t xml:space="preserve">k30, a five‑point Likert scale (0 = no obstacle, 4 = severe obstacle) capturing perceived constraint to firm operations.</w:t>
      </w:r>
    </w:p>
    <w:p>
      <w:pPr>
        <w:pStyle w:val="FirstParagraph"/>
      </w:pPr>
      <w:r>
        <w:t xml:space="preserve">A 2012‑only robustness extension (Block B) uses purchases on credit (k1c) and sales on credit (k2c) percentages; these items are absent from the 2024 release and therefore cannot enter cross‑wave specifications.</w:t>
      </w:r>
    </w:p>
    <w:p>
      <w:pPr>
        <w:pStyle w:val="BodyText"/>
      </w:pPr>
      <w:r>
        <w:rPr>
          <w:bCs/>
          <w:b/>
        </w:rPr>
        <w:t xml:space="preserve">Transparency note on missing‑code handling.</w:t>
      </w:r>
      <w:r>
        <w:t xml:space="preserve"> </w:t>
      </w:r>
      <w:r>
        <w:t xml:space="preserve">WBES uses -9 for "do not know" and -7 for refusal in many items; the 2024 release additionally separates -8 for refusal from -9 for "do not know". These codes are treated as missing in the present analysis, restoring methodological alignment with the WBES codebook guidance.</w:t>
      </w:r>
    </w:p>
    <w:bookmarkEnd w:id="34"/>
    <w:bookmarkStart w:id="35" w:name="Xaf7eb2307f7939a5e28c8df2b6899314ed6f398"/>
    <w:p>
      <w:pPr>
        <w:pStyle w:val="Heading3"/>
      </w:pPr>
      <w:r>
        <w:t xml:space="preserve">3.3 Estimation</w:t>
      </w:r>
    </w:p>
    <w:p>
      <w:pPr>
        <w:pStyle w:val="FirstParagraph"/>
      </w:pPr>
      <w:r>
        <w:t xml:space="preserve">Each specification is estimated by ordinary least squares with Huber–White (HC1) robust standard errors (MacKinnon &amp; White, 1985); pooled specifications additionally cluster the standard errors on the firm identifier</w:t>
      </w:r>
      <w:r>
        <w:t xml:space="preserve"> </w:t>
      </w:r>
      <w:r>
        <w:rPr>
          <w:rStyle w:val="VerbatimChar"/>
        </w:rPr>
        <w:t xml:space="preserve">idstd</w:t>
      </w:r>
      <w:r>
        <w:t xml:space="preserve"> </w:t>
      </w:r>
      <w:r>
        <w:t xml:space="preserve">to address the within-firm dependence introduced by the 217 panel observations. Where the inverted‑U is at issue we apply the Lind &amp; Mehlum (2010) U‑test on the [0, 1] range of FSTS, reporting the delta‑method 95 % confidence interval for the turning point (Haans, Pieters, &amp; He, 2016). Cross‑wave coefficient differences are evaluated via the Paternoster et al. (1998) z‑test, z = (</w:t>
      </w:r>
      <m:oMath>
        <m:r>
          <m:t>β</m:t>
        </m:r>
      </m:oMath>
      <w:r>
        <w:t xml:space="preserve">_A −</w:t>
      </w:r>
      <w:r>
        <w:t xml:space="preserve"> </w:t>
      </w:r>
      <m:oMath>
        <m:r>
          <m:t>β</m:t>
        </m:r>
      </m:oMath>
      <w:r>
        <w:t xml:space="preserve">_B) / √(SE_A² + SE_B²), with two‑sided p‑values from the standard normal distribution; the Paternoster z-test on individual coefficients is complemented by joint F-tests on the two-coefficient (FSTS</w:t>
      </w:r>
      <w:r>
        <w:t xml:space="preserve"> </w:t>
      </w:r>
      <m:oMath>
        <m:r>
          <m:rPr>
            <m:sty m:val="p"/>
          </m:rPr>
          <m:t>×</m:t>
        </m:r>
      </m:oMath>
      <w:r>
        <w:t xml:space="preserve"> </w:t>
      </w:r>
      <m:oMath>
        <m:sSub>
          <m:e>
            <m:r>
              <m:t>D</m:t>
            </m:r>
          </m:e>
          <m:sub>
            <m:r>
              <m:t>2024</m:t>
            </m:r>
          </m:sub>
        </m:sSub>
      </m:oMath>
      <w:r>
        <w:t xml:space="preserve">,</w:t>
      </w:r>
      <w:r>
        <w:t xml:space="preserve"> </w:t>
      </w:r>
      <m:oMath>
        <m:sSup>
          <m:e>
            <m:r>
              <m:rPr>
                <m:sty m:val="p"/>
              </m:rPr>
              <m:t>F</m:t>
            </m:r>
            <m:r>
              <m:rPr>
                <m:sty m:val="p"/>
              </m:rPr>
              <m:t>S</m:t>
            </m:r>
            <m:r>
              <m:rPr>
                <m:sty m:val="p"/>
              </m:rPr>
              <m:t>T</m:t>
            </m:r>
            <m:r>
              <m:rPr>
                <m:sty m:val="p"/>
              </m:rPr>
              <m:t>S</m:t>
            </m:r>
          </m:e>
          <m:sup>
            <m:r>
              <m:t>2</m:t>
            </m:r>
          </m:sup>
        </m:sSup>
      </m:oMath>
      <w:r>
        <w:t xml:space="preserve"> </w:t>
      </w:r>
      <m:oMath>
        <m:r>
          <m:rPr>
            <m:sty m:val="p"/>
          </m:rPr>
          <m:t>×</m:t>
        </m:r>
      </m:oMath>
      <w:r>
        <w:t xml:space="preserve"> </w:t>
      </w:r>
      <m:oMath>
        <m:sSub>
          <m:e>
            <m:r>
              <m:t>D</m:t>
            </m:r>
          </m:e>
          <m:sub>
            <m:r>
              <m:t>2024</m:t>
            </m:r>
          </m:sub>
        </m:sSub>
      </m:oMath>
      <w:r>
        <w:t xml:space="preserve">) blocks of the pooled three-way specification (see Section 3.5).</w:t>
      </w:r>
    </w:p>
    <w:p>
      <w:pPr>
        <w:pStyle w:val="BodyText"/>
      </w:pPr>
      <w:r>
        <w:t xml:space="preserve">Throughout, we describe results as associations rather than effects, consistent with the inferential limits of repeated‑cross‑section data: in the absence of within‑firm panel structure we cannot identify causal effects within firms, only the cross‑sectional contemporaneous association between predictors and outcomes (Antonakis et al., 2010; Shaver, 2020).</w:t>
      </w:r>
    </w:p>
    <w:bookmarkEnd w:id="35"/>
    <w:bookmarkStart w:id="36" w:name="X907e9d59c8432334117815c7c238a5d075abf9e"/>
    <w:p>
      <w:pPr>
        <w:pStyle w:val="Heading3"/>
      </w:pPr>
      <w:r>
        <w:t xml:space="preserve">3.4 Supplementary working-capital analyses</w:t>
      </w:r>
    </w:p>
    <w:p>
      <w:pPr>
        <w:pStyle w:val="FirstParagraph"/>
      </w:pPr>
      <w:r>
        <w:t xml:space="preserve">Supplementary models test whether the post-threshold downturn is conditioned by firm-level working-capital circumstances. Each working-capital measure enters together with its interaction with</w:t>
      </w:r>
      <w:r>
        <w:t xml:space="preserve"> </w:t>
      </w:r>
      <m:oMath>
        <m:sSup>
          <m:e>
            <m:r>
              <m:rPr>
                <m:sty m:val="p"/>
              </m:rPr>
              <m:t>F</m:t>
            </m:r>
            <m:r>
              <m:rPr>
                <m:sty m:val="p"/>
              </m:rPr>
              <m:t>S</m:t>
            </m:r>
            <m:r>
              <m:rPr>
                <m:sty m:val="p"/>
              </m:rPr>
              <m:t>T</m:t>
            </m:r>
            <m:r>
              <m:rPr>
                <m:sty m:val="p"/>
              </m:rPr>
              <m:t>S</m:t>
            </m:r>
          </m:e>
          <m:sup>
            <m:r>
              <m:t>2</m:t>
            </m:r>
          </m:sup>
        </m:sSup>
      </m:oMath>
      <w:r>
        <w:t xml:space="preserve"> </w:t>
      </w:r>
      <w:r>
        <w:t xml:space="preserve">— the focal parameter, since the theoretical argument concerns the steepness of the downturn rather than the upward phase. Tests are conducted at the item level (M1), block level (Liquidity Access Index M3), composite stress index (M4), and 2012-only Receivables Exposure (k1c, k2c). Threshold-model evidence remains primary; working-capital interactions evaluate the proposed economic interpretation.</w:t>
      </w:r>
    </w:p>
    <w:bookmarkEnd w:id="36"/>
    <w:bookmarkStart w:id="37" w:name="X6a0fa64ff3f0539a5493a54e4d23f1150e320bd"/>
    <w:p>
      <w:pPr>
        <w:pStyle w:val="Heading3"/>
      </w:pPr>
      <w:r>
        <w:t xml:space="preserve">3.5 Three-way moderation specification</w:t>
      </w:r>
    </w:p>
    <w:p>
      <w:pPr>
        <w:pStyle w:val="FirstParagraph"/>
      </w:pPr>
      <w:r>
        <w:t xml:space="preserve">To test H2a/H2b, H4a/H4b curvature components, and the capability-conditioned dynamic moderation jointly, we estimate the following pooled specification on sample_full (N = 3,559; the 1,000-observation drop from the N = 4,559 focal pool reflects firms missing on ≥2 of the four TCI items). Wave-by-wave M2 specifications and descriptives remain on sample_base.</w:t>
      </w:r>
    </w:p>
    <w:p>
      <w:pPr>
        <w:pStyle w:val="BodyText"/>
      </w:pPr>
      <m:oMathPara>
        <m:oMathParaPr>
          <m:jc m:val="center"/>
        </m:oMathParaPr>
        <m:oMath>
          <m:m>
            <m:mPr>
              <m:baseJc m:val="center"/>
              <m:plcHide m:val="on"/>
              <m:mcs>
                <m:mc>
                  <m:mcPr>
                    <m:mcJc m:val="right"/>
                    <m:count m:val="1"/>
                  </m:mcPr>
                </m:mc>
                <m:mc>
                  <m:mcPr>
                    <m:mcJc m:val="left"/>
                    <m:count m:val="1"/>
                  </m:mcPr>
                </m:mc>
              </m:mcs>
            </m:mPr>
            <m:mr>
              <m:e>
                <m:r>
                  <m:rPr>
                    <m:sty m:val="p"/>
                  </m:rPr>
                  <m:t>ln</m:t>
                </m:r>
                <m:d>
                  <m:dPr>
                    <m:begChr m:val="("/>
                    <m:endChr m:val=")"/>
                    <m:sepChr m:val=""/>
                    <m:grow/>
                  </m:dPr>
                  <m:e>
                    <m:sSub>
                      <m:e>
                        <m:r>
                          <m:rPr>
                            <m:sty m:val="p"/>
                          </m:rPr>
                          <m:t>L</m:t>
                        </m:r>
                        <m:r>
                          <m:rPr>
                            <m:sty m:val="p"/>
                          </m:rPr>
                          <m:t>P</m:t>
                        </m:r>
                      </m:e>
                      <m:sub>
                        <m:r>
                          <m:t>i</m:t>
                        </m:r>
                      </m:sub>
                    </m:sSub>
                  </m:e>
                </m:d>
                <m:r>
                  <m:rPr>
                    <m:sty m:val="p"/>
                  </m:rPr>
                  <m:t>=</m:t>
                </m:r>
                <m:r>
                  <m:t> </m:t>
                </m:r>
              </m:e>
              <m:e>
                <m:sSub>
                  <m:e>
                    <m:r>
                      <m:t>β</m:t>
                    </m:r>
                  </m:e>
                  <m:sub>
                    <m:r>
                      <m:t>0</m:t>
                    </m:r>
                  </m:sub>
                </m:sSub>
                <m:r>
                  <m:rPr>
                    <m:sty m:val="p"/>
                  </m:rPr>
                  <m:t>+</m:t>
                </m:r>
                <m:sSub>
                  <m:e>
                    <m:r>
                      <m:t>β</m:t>
                    </m:r>
                  </m:e>
                  <m:sub>
                    <m:r>
                      <m:t>1</m:t>
                    </m:r>
                  </m:sub>
                </m:sSub>
                <m:r>
                  <m:t> </m:t>
                </m:r>
                <m:sSub>
                  <m:e>
                    <m:r>
                      <m:rPr>
                        <m:sty m:val="p"/>
                      </m:rPr>
                      <m:t>F</m:t>
                    </m:r>
                    <m:r>
                      <m:rPr>
                        <m:sty m:val="p"/>
                      </m:rPr>
                      <m:t>S</m:t>
                    </m:r>
                    <m:r>
                      <m:rPr>
                        <m:sty m:val="p"/>
                      </m:rPr>
                      <m:t>T</m:t>
                    </m:r>
                    <m:r>
                      <m:rPr>
                        <m:sty m:val="p"/>
                      </m:rPr>
                      <m:t>S</m:t>
                    </m:r>
                  </m:e>
                  <m:sub>
                    <m:r>
                      <m:t>i</m:t>
                    </m:r>
                  </m:sub>
                </m:sSub>
                <m:r>
                  <m:rPr>
                    <m:sty m:val="p"/>
                  </m:rPr>
                  <m:t>+</m:t>
                </m:r>
                <m:sSub>
                  <m:e>
                    <m:r>
                      <m:t>β</m:t>
                    </m:r>
                  </m:e>
                  <m:sub>
                    <m:r>
                      <m:t>2</m:t>
                    </m:r>
                  </m:sub>
                </m:sSub>
                <m:r>
                  <m:t> </m:t>
                </m:r>
                <m:sSubSup>
                  <m:e>
                    <m:r>
                      <m:rPr>
                        <m:sty m:val="p"/>
                      </m:rPr>
                      <m:t>F</m:t>
                    </m:r>
                    <m:r>
                      <m:rPr>
                        <m:sty m:val="p"/>
                      </m:rPr>
                      <m:t>S</m:t>
                    </m:r>
                    <m:r>
                      <m:rPr>
                        <m:sty m:val="p"/>
                      </m:rPr>
                      <m:t>T</m:t>
                    </m:r>
                    <m:r>
                      <m:rPr>
                        <m:sty m:val="p"/>
                      </m:rPr>
                      <m:t>S</m:t>
                    </m:r>
                  </m:e>
                  <m:sub>
                    <m:r>
                      <m:t>i</m:t>
                    </m:r>
                  </m:sub>
                  <m:sup>
                    <m:r>
                      <m:t>2</m:t>
                    </m:r>
                  </m:sup>
                </m:sSubSup>
                <m:r>
                  <m:rPr>
                    <m:sty m:val="p"/>
                  </m:rPr>
                  <m:t>+</m:t>
                </m:r>
                <m:sSub>
                  <m:e>
                    <m:r>
                      <m:t>β</m:t>
                    </m:r>
                  </m:e>
                  <m:sub>
                    <m:r>
                      <m:t>3</m:t>
                    </m:r>
                  </m:sub>
                </m:sSub>
                <m:r>
                  <m:t> </m:t>
                </m:r>
                <m:sSub>
                  <m:e>
                    <m:r>
                      <m:rPr>
                        <m:sty m:val="p"/>
                      </m:rPr>
                      <m:t>w</m:t>
                    </m:r>
                    <m:r>
                      <m:rPr>
                        <m:sty m:val="p"/>
                      </m:rPr>
                      <m:t>a</m:t>
                    </m:r>
                    <m:r>
                      <m:rPr>
                        <m:sty m:val="p"/>
                      </m:rPr>
                      <m:t>v</m:t>
                    </m:r>
                    <m:r>
                      <m:rPr>
                        <m:sty m:val="p"/>
                      </m:rPr>
                      <m:t>e</m:t>
                    </m:r>
                    <m:r>
                      <m:rPr>
                        <m:sty m:val="p"/>
                      </m:rPr>
                      <m:t>_</m:t>
                    </m:r>
                    <m:r>
                      <m:rPr>
                        <m:sty m:val="p"/>
                      </m:rPr>
                      <m:t>2024</m:t>
                    </m:r>
                  </m:e>
                  <m:sub>
                    <m:r>
                      <m:t>i</m:t>
                    </m:r>
                  </m:sub>
                </m:sSub>
              </m:e>
            </m:mr>
            <m:mr>
              <m:e/>
              <m:e>
                <m:r>
                  <m:rPr>
                    <m:sty m:val="p"/>
                  </m:rPr>
                  <m:t>+</m:t>
                </m:r>
                <m:sSub>
                  <m:e>
                    <m:r>
                      <m:t>β</m:t>
                    </m:r>
                  </m:e>
                  <m:sub>
                    <m:r>
                      <m:t>4</m:t>
                    </m:r>
                  </m:sub>
                </m:sSub>
                <m:r>
                  <m:t> </m:t>
                </m:r>
                <m:d>
                  <m:dPr>
                    <m:begChr m:val="("/>
                    <m:endChr m:val=")"/>
                    <m:sepChr m:val=""/>
                    <m:grow/>
                  </m:dPr>
                  <m:e>
                    <m:sSub>
                      <m:e>
                        <m:r>
                          <m:rPr>
                            <m:sty m:val="p"/>
                          </m:rPr>
                          <m:t>F</m:t>
                        </m:r>
                        <m:r>
                          <m:rPr>
                            <m:sty m:val="p"/>
                          </m:rPr>
                          <m:t>S</m:t>
                        </m:r>
                        <m:r>
                          <m:rPr>
                            <m:sty m:val="p"/>
                          </m:rPr>
                          <m:t>T</m:t>
                        </m:r>
                        <m:r>
                          <m:rPr>
                            <m:sty m:val="p"/>
                          </m:rPr>
                          <m:t>S</m:t>
                        </m:r>
                      </m:e>
                      <m:sub>
                        <m:r>
                          <m:t>i</m:t>
                        </m:r>
                      </m:sub>
                    </m:sSub>
                    <m:r>
                      <m:rPr>
                        <m:sty m:val="p"/>
                      </m:rPr>
                      <m:t>×</m:t>
                    </m:r>
                    <m:sSub>
                      <m:e>
                        <m:r>
                          <m:rPr>
                            <m:sty m:val="p"/>
                          </m:rPr>
                          <m:t>w</m:t>
                        </m:r>
                        <m:r>
                          <m:rPr>
                            <m:sty m:val="p"/>
                          </m:rPr>
                          <m:t>a</m:t>
                        </m:r>
                        <m:r>
                          <m:rPr>
                            <m:sty m:val="p"/>
                          </m:rPr>
                          <m:t>v</m:t>
                        </m:r>
                        <m:r>
                          <m:rPr>
                            <m:sty m:val="p"/>
                          </m:rPr>
                          <m:t>e</m:t>
                        </m:r>
                        <m:r>
                          <m:rPr>
                            <m:sty m:val="p"/>
                          </m:rPr>
                          <m:t>_</m:t>
                        </m:r>
                        <m:r>
                          <m:rPr>
                            <m:sty m:val="p"/>
                          </m:rPr>
                          <m:t>2024</m:t>
                        </m:r>
                      </m:e>
                      <m:sub>
                        <m:r>
                          <m:t>i</m:t>
                        </m:r>
                      </m:sub>
                    </m:sSub>
                  </m:e>
                </m:d>
                <m:r>
                  <m:rPr>
                    <m:sty m:val="p"/>
                  </m:rPr>
                  <m:t>+</m:t>
                </m:r>
                <m:sSub>
                  <m:e>
                    <m:r>
                      <m:t>β</m:t>
                    </m:r>
                  </m:e>
                  <m:sub>
                    <m:r>
                      <m:t>5</m:t>
                    </m:r>
                  </m:sub>
                </m:sSub>
                <m:r>
                  <m:t> </m:t>
                </m:r>
                <m:d>
                  <m:dPr>
                    <m:begChr m:val="("/>
                    <m:endChr m:val=")"/>
                    <m:sepChr m:val=""/>
                    <m:grow/>
                  </m:dPr>
                  <m:e>
                    <m:sSubSup>
                      <m:e>
                        <m:r>
                          <m:rPr>
                            <m:sty m:val="p"/>
                          </m:rPr>
                          <m:t>F</m:t>
                        </m:r>
                        <m:r>
                          <m:rPr>
                            <m:sty m:val="p"/>
                          </m:rPr>
                          <m:t>S</m:t>
                        </m:r>
                        <m:r>
                          <m:rPr>
                            <m:sty m:val="p"/>
                          </m:rPr>
                          <m:t>T</m:t>
                        </m:r>
                        <m:r>
                          <m:rPr>
                            <m:sty m:val="p"/>
                          </m:rPr>
                          <m:t>S</m:t>
                        </m:r>
                      </m:e>
                      <m:sub>
                        <m:r>
                          <m:t>i</m:t>
                        </m:r>
                      </m:sub>
                      <m:sup>
                        <m:r>
                          <m:t>2</m:t>
                        </m:r>
                      </m:sup>
                    </m:sSubSup>
                    <m:r>
                      <m:rPr>
                        <m:sty m:val="p"/>
                      </m:rPr>
                      <m:t>×</m:t>
                    </m:r>
                    <m:sSub>
                      <m:e>
                        <m:r>
                          <m:rPr>
                            <m:sty m:val="p"/>
                          </m:rPr>
                          <m:t>w</m:t>
                        </m:r>
                        <m:r>
                          <m:rPr>
                            <m:sty m:val="p"/>
                          </m:rPr>
                          <m:t>a</m:t>
                        </m:r>
                        <m:r>
                          <m:rPr>
                            <m:sty m:val="p"/>
                          </m:rPr>
                          <m:t>v</m:t>
                        </m:r>
                        <m:r>
                          <m:rPr>
                            <m:sty m:val="p"/>
                          </m:rPr>
                          <m:t>e</m:t>
                        </m:r>
                        <m:r>
                          <m:rPr>
                            <m:sty m:val="p"/>
                          </m:rPr>
                          <m:t>_</m:t>
                        </m:r>
                        <m:r>
                          <m:rPr>
                            <m:sty m:val="p"/>
                          </m:rPr>
                          <m:t>2024</m:t>
                        </m:r>
                      </m:e>
                      <m:sub>
                        <m:r>
                          <m:t>i</m:t>
                        </m:r>
                      </m:sub>
                    </m:sSub>
                  </m:e>
                </m:d>
              </m:e>
            </m:mr>
            <m:mr>
              <m:e/>
              <m:e>
                <m:r>
                  <m:rPr>
                    <m:sty m:val="p"/>
                  </m:rPr>
                  <m:t>+</m:t>
                </m:r>
                <m:sSub>
                  <m:e>
                    <m:r>
                      <m:t>β</m:t>
                    </m:r>
                  </m:e>
                  <m:sub>
                    <m:r>
                      <m:t>6</m:t>
                    </m:r>
                  </m:sub>
                </m:sSub>
                <m:r>
                  <m:t> </m:t>
                </m:r>
                <m:sSub>
                  <m:e>
                    <m:r>
                      <m:rPr>
                        <m:sty m:val="p"/>
                      </m:rPr>
                      <m:t>T</m:t>
                    </m:r>
                    <m:r>
                      <m:rPr>
                        <m:sty m:val="p"/>
                      </m:rPr>
                      <m:t>e</m:t>
                    </m:r>
                    <m:r>
                      <m:rPr>
                        <m:sty m:val="p"/>
                      </m:rPr>
                      <m:t>c</m:t>
                    </m:r>
                    <m:r>
                      <m:rPr>
                        <m:sty m:val="p"/>
                      </m:rPr>
                      <m:t>h</m:t>
                    </m:r>
                  </m:e>
                  <m:sub>
                    <m:r>
                      <m:t>i</m:t>
                    </m:r>
                  </m:sub>
                </m:sSub>
                <m:r>
                  <m:rPr>
                    <m:sty m:val="p"/>
                  </m:rPr>
                  <m:t>+</m:t>
                </m:r>
                <m:sSub>
                  <m:e>
                    <m:r>
                      <m:t>β</m:t>
                    </m:r>
                  </m:e>
                  <m:sub>
                    <m:r>
                      <m:t>7</m:t>
                    </m:r>
                  </m:sub>
                </m:sSub>
                <m:r>
                  <m:t> </m:t>
                </m:r>
                <m:d>
                  <m:dPr>
                    <m:begChr m:val="("/>
                    <m:endChr m:val=")"/>
                    <m:sepChr m:val=""/>
                    <m:grow/>
                  </m:dPr>
                  <m:e>
                    <m:sSub>
                      <m:e>
                        <m:r>
                          <m:rPr>
                            <m:sty m:val="p"/>
                          </m:rPr>
                          <m:t>F</m:t>
                        </m:r>
                        <m:r>
                          <m:rPr>
                            <m:sty m:val="p"/>
                          </m:rPr>
                          <m:t>S</m:t>
                        </m:r>
                        <m:r>
                          <m:rPr>
                            <m:sty m:val="p"/>
                          </m:rPr>
                          <m:t>T</m:t>
                        </m:r>
                        <m:r>
                          <m:rPr>
                            <m:sty m:val="p"/>
                          </m:rPr>
                          <m:t>S</m:t>
                        </m:r>
                      </m:e>
                      <m:sub>
                        <m:r>
                          <m:t>i</m:t>
                        </m:r>
                      </m:sub>
                    </m:sSub>
                    <m:r>
                      <m:rPr>
                        <m:sty m:val="p"/>
                      </m:rPr>
                      <m:t>×</m:t>
                    </m:r>
                    <m:sSub>
                      <m:e>
                        <m:r>
                          <m:rPr>
                            <m:sty m:val="p"/>
                          </m:rPr>
                          <m:t>T</m:t>
                        </m:r>
                        <m:r>
                          <m:rPr>
                            <m:sty m:val="p"/>
                          </m:rPr>
                          <m:t>e</m:t>
                        </m:r>
                        <m:r>
                          <m:rPr>
                            <m:sty m:val="p"/>
                          </m:rPr>
                          <m:t>c</m:t>
                        </m:r>
                        <m:r>
                          <m:rPr>
                            <m:sty m:val="p"/>
                          </m:rPr>
                          <m:t>h</m:t>
                        </m:r>
                      </m:e>
                      <m:sub>
                        <m:r>
                          <m:t>i</m:t>
                        </m:r>
                      </m:sub>
                    </m:sSub>
                  </m:e>
                </m:d>
                <m:r>
                  <m:rPr>
                    <m:sty m:val="p"/>
                  </m:rPr>
                  <m:t>+</m:t>
                </m:r>
                <m:sSub>
                  <m:e>
                    <m:r>
                      <m:t>β</m:t>
                    </m:r>
                  </m:e>
                  <m:sub>
                    <m:r>
                      <m:t>8</m:t>
                    </m:r>
                  </m:sub>
                </m:sSub>
                <m:r>
                  <m:t> </m:t>
                </m:r>
                <m:d>
                  <m:dPr>
                    <m:begChr m:val="("/>
                    <m:endChr m:val=")"/>
                    <m:sepChr m:val=""/>
                    <m:grow/>
                  </m:dPr>
                  <m:e>
                    <m:sSubSup>
                      <m:e>
                        <m:r>
                          <m:rPr>
                            <m:sty m:val="p"/>
                          </m:rPr>
                          <m:t>F</m:t>
                        </m:r>
                        <m:r>
                          <m:rPr>
                            <m:sty m:val="p"/>
                          </m:rPr>
                          <m:t>S</m:t>
                        </m:r>
                        <m:r>
                          <m:rPr>
                            <m:sty m:val="p"/>
                          </m:rPr>
                          <m:t>T</m:t>
                        </m:r>
                        <m:r>
                          <m:rPr>
                            <m:sty m:val="p"/>
                          </m:rPr>
                          <m:t>S</m:t>
                        </m:r>
                      </m:e>
                      <m:sub>
                        <m:r>
                          <m:t>i</m:t>
                        </m:r>
                      </m:sub>
                      <m:sup>
                        <m:r>
                          <m:t>2</m:t>
                        </m:r>
                      </m:sup>
                    </m:sSubSup>
                    <m:r>
                      <m:rPr>
                        <m:sty m:val="p"/>
                      </m:rPr>
                      <m:t>×</m:t>
                    </m:r>
                    <m:sSub>
                      <m:e>
                        <m:r>
                          <m:rPr>
                            <m:sty m:val="p"/>
                          </m:rPr>
                          <m:t>T</m:t>
                        </m:r>
                        <m:r>
                          <m:rPr>
                            <m:sty m:val="p"/>
                          </m:rPr>
                          <m:t>e</m:t>
                        </m:r>
                        <m:r>
                          <m:rPr>
                            <m:sty m:val="p"/>
                          </m:rPr>
                          <m:t>c</m:t>
                        </m:r>
                        <m:r>
                          <m:rPr>
                            <m:sty m:val="p"/>
                          </m:rPr>
                          <m:t>h</m:t>
                        </m:r>
                      </m:e>
                      <m:sub>
                        <m:r>
                          <m:t>i</m:t>
                        </m:r>
                      </m:sub>
                    </m:sSub>
                  </m:e>
                </m:d>
              </m:e>
            </m:mr>
            <m:mr>
              <m:e/>
              <m:e>
                <m:r>
                  <m:rPr>
                    <m:sty m:val="p"/>
                  </m:rPr>
                  <m:t>+</m:t>
                </m:r>
                <m:sSub>
                  <m:e>
                    <m:r>
                      <m:t>β</m:t>
                    </m:r>
                  </m:e>
                  <m:sub>
                    <m:r>
                      <m:t>9</m:t>
                    </m:r>
                  </m:sub>
                </m:sSub>
                <m:r>
                  <m:t> </m:t>
                </m:r>
                <m:d>
                  <m:dPr>
                    <m:begChr m:val="("/>
                    <m:endChr m:val=")"/>
                    <m:sepChr m:val=""/>
                    <m:grow/>
                  </m:dPr>
                  <m:e>
                    <m:sSub>
                      <m:e>
                        <m:r>
                          <m:rPr>
                            <m:sty m:val="p"/>
                          </m:rPr>
                          <m:t>F</m:t>
                        </m:r>
                        <m:r>
                          <m:rPr>
                            <m:sty m:val="p"/>
                          </m:rPr>
                          <m:t>S</m:t>
                        </m:r>
                        <m:r>
                          <m:rPr>
                            <m:sty m:val="p"/>
                          </m:rPr>
                          <m:t>T</m:t>
                        </m:r>
                        <m:r>
                          <m:rPr>
                            <m:sty m:val="p"/>
                          </m:rPr>
                          <m:t>S</m:t>
                        </m:r>
                      </m:e>
                      <m:sub>
                        <m:r>
                          <m:t>i</m:t>
                        </m:r>
                      </m:sub>
                    </m:sSub>
                    <m:r>
                      <m:rPr>
                        <m:sty m:val="p"/>
                      </m:rPr>
                      <m:t>×</m:t>
                    </m:r>
                    <m:sSub>
                      <m:e>
                        <m:r>
                          <m:rPr>
                            <m:sty m:val="p"/>
                          </m:rPr>
                          <m:t>w</m:t>
                        </m:r>
                        <m:r>
                          <m:rPr>
                            <m:sty m:val="p"/>
                          </m:rPr>
                          <m:t>a</m:t>
                        </m:r>
                        <m:r>
                          <m:rPr>
                            <m:sty m:val="p"/>
                          </m:rPr>
                          <m:t>v</m:t>
                        </m:r>
                        <m:r>
                          <m:rPr>
                            <m:sty m:val="p"/>
                          </m:rPr>
                          <m:t>e</m:t>
                        </m:r>
                        <m:r>
                          <m:rPr>
                            <m:sty m:val="p"/>
                          </m:rPr>
                          <m:t>_</m:t>
                        </m:r>
                        <m:r>
                          <m:rPr>
                            <m:sty m:val="p"/>
                          </m:rPr>
                          <m:t>2024</m:t>
                        </m:r>
                      </m:e>
                      <m:sub>
                        <m:r>
                          <m:t>i</m:t>
                        </m:r>
                      </m:sub>
                    </m:sSub>
                    <m:r>
                      <m:rPr>
                        <m:sty m:val="p"/>
                      </m:rPr>
                      <m:t>×</m:t>
                    </m:r>
                    <m:sSub>
                      <m:e>
                        <m:r>
                          <m:rPr>
                            <m:sty m:val="p"/>
                          </m:rPr>
                          <m:t>T</m:t>
                        </m:r>
                        <m:r>
                          <m:rPr>
                            <m:sty m:val="p"/>
                          </m:rPr>
                          <m:t>e</m:t>
                        </m:r>
                        <m:r>
                          <m:rPr>
                            <m:sty m:val="p"/>
                          </m:rPr>
                          <m:t>c</m:t>
                        </m:r>
                        <m:r>
                          <m:rPr>
                            <m:sty m:val="p"/>
                          </m:rPr>
                          <m:t>h</m:t>
                        </m:r>
                      </m:e>
                      <m:sub>
                        <m:r>
                          <m:t>i</m:t>
                        </m:r>
                      </m:sub>
                    </m:sSub>
                  </m:e>
                </m:d>
                <m:r>
                  <m:rPr>
                    <m:sty m:val="p"/>
                  </m:rPr>
                  <m:t>+</m:t>
                </m:r>
                <m:sSub>
                  <m:e>
                    <m:r>
                      <m:t>β</m:t>
                    </m:r>
                  </m:e>
                  <m:sub>
                    <m:r>
                      <m:t>10</m:t>
                    </m:r>
                  </m:sub>
                </m:sSub>
                <m:r>
                  <m:t> </m:t>
                </m:r>
                <m:d>
                  <m:dPr>
                    <m:begChr m:val="("/>
                    <m:endChr m:val=")"/>
                    <m:sepChr m:val=""/>
                    <m:grow/>
                  </m:dPr>
                  <m:e>
                    <m:sSubSup>
                      <m:e>
                        <m:r>
                          <m:rPr>
                            <m:sty m:val="p"/>
                          </m:rPr>
                          <m:t>F</m:t>
                        </m:r>
                        <m:r>
                          <m:rPr>
                            <m:sty m:val="p"/>
                          </m:rPr>
                          <m:t>S</m:t>
                        </m:r>
                        <m:r>
                          <m:rPr>
                            <m:sty m:val="p"/>
                          </m:rPr>
                          <m:t>T</m:t>
                        </m:r>
                        <m:r>
                          <m:rPr>
                            <m:sty m:val="p"/>
                          </m:rPr>
                          <m:t>S</m:t>
                        </m:r>
                      </m:e>
                      <m:sub>
                        <m:r>
                          <m:t>i</m:t>
                        </m:r>
                      </m:sub>
                      <m:sup>
                        <m:r>
                          <m:t>2</m:t>
                        </m:r>
                      </m:sup>
                    </m:sSubSup>
                    <m:r>
                      <m:rPr>
                        <m:sty m:val="p"/>
                      </m:rPr>
                      <m:t>×</m:t>
                    </m:r>
                    <m:sSub>
                      <m:e>
                        <m:r>
                          <m:rPr>
                            <m:sty m:val="p"/>
                          </m:rPr>
                          <m:t>w</m:t>
                        </m:r>
                        <m:r>
                          <m:rPr>
                            <m:sty m:val="p"/>
                          </m:rPr>
                          <m:t>a</m:t>
                        </m:r>
                        <m:r>
                          <m:rPr>
                            <m:sty m:val="p"/>
                          </m:rPr>
                          <m:t>v</m:t>
                        </m:r>
                        <m:r>
                          <m:rPr>
                            <m:sty m:val="p"/>
                          </m:rPr>
                          <m:t>e</m:t>
                        </m:r>
                        <m:r>
                          <m:rPr>
                            <m:sty m:val="p"/>
                          </m:rPr>
                          <m:t>_</m:t>
                        </m:r>
                        <m:r>
                          <m:rPr>
                            <m:sty m:val="p"/>
                          </m:rPr>
                          <m:t>2024</m:t>
                        </m:r>
                      </m:e>
                      <m:sub>
                        <m:r>
                          <m:t>i</m:t>
                        </m:r>
                      </m:sub>
                    </m:sSub>
                    <m:r>
                      <m:rPr>
                        <m:sty m:val="p"/>
                      </m:rPr>
                      <m:t>×</m:t>
                    </m:r>
                    <m:sSub>
                      <m:e>
                        <m:r>
                          <m:rPr>
                            <m:sty m:val="p"/>
                          </m:rPr>
                          <m:t>T</m:t>
                        </m:r>
                        <m:r>
                          <m:rPr>
                            <m:sty m:val="p"/>
                          </m:rPr>
                          <m:t>e</m:t>
                        </m:r>
                        <m:r>
                          <m:rPr>
                            <m:sty m:val="p"/>
                          </m:rPr>
                          <m:t>c</m:t>
                        </m:r>
                        <m:r>
                          <m:rPr>
                            <m:sty m:val="p"/>
                          </m:rPr>
                          <m:t>h</m:t>
                        </m:r>
                      </m:e>
                      <m:sub>
                        <m:r>
                          <m:t>i</m:t>
                        </m:r>
                      </m:sub>
                    </m:sSub>
                  </m:e>
                </m:d>
              </m:e>
            </m:mr>
            <m:mr>
              <m:e/>
              <m:e>
                <m:r>
                  <m:rPr>
                    <m:sty m:val="p"/>
                  </m:rPr>
                  <m:t>+</m:t>
                </m:r>
                <m:sSup>
                  <m:e>
                    <m:r>
                      <m:rPr>
                        <m:sty m:val="b"/>
                      </m:rPr>
                      <m:t>γ</m:t>
                    </m:r>
                  </m:e>
                  <m:sup>
                    <m:r>
                      <m:rPr>
                        <m:sty m:val="p"/>
                      </m:rPr>
                      <m:t>⊤</m:t>
                    </m:r>
                  </m:sup>
                </m:sSup>
                <m:r>
                  <m:t>​</m:t>
                </m:r>
                <m:sSub>
                  <m:e>
                    <m:r>
                      <m:rPr>
                        <m:sty m:val="b"/>
                      </m:rPr>
                      <m:t>x</m:t>
                    </m:r>
                  </m:e>
                  <m:sub>
                    <m:r>
                      <m:t>i</m:t>
                    </m:r>
                  </m:sub>
                </m:sSub>
                <m:r>
                  <m:rPr>
                    <m:sty m:val="p"/>
                  </m:rPr>
                  <m:t>+</m:t>
                </m:r>
                <m:sSub>
                  <m:e>
                    <m:r>
                      <m:t>ε</m:t>
                    </m:r>
                  </m:e>
                  <m:sub>
                    <m:r>
                      <m:t>i</m:t>
                    </m:r>
                  </m:sub>
                </m:sSub>
                <m:r>
                  <m:rPr>
                    <m:sty m:val="p"/>
                  </m:rPr>
                  <m:t>,</m:t>
                </m:r>
              </m:e>
            </m:mr>
          </m:m>
        </m:oMath>
      </m:oMathPara>
    </w:p>
    <w:p>
      <w:pPr>
        <w:pStyle w:val="FirstParagraph"/>
      </w:pPr>
      <w:r>
        <w:t xml:space="preserve">where</w:t>
      </w:r>
      <w:r>
        <w:t xml:space="preserve"> </w:t>
      </w:r>
      <m:oMath>
        <m:sSub>
          <m:e>
            <m:r>
              <m:rPr>
                <m:sty m:val="p"/>
              </m:rPr>
              <m:t>T</m:t>
            </m:r>
            <m:r>
              <m:rPr>
                <m:sty m:val="p"/>
              </m:rPr>
              <m:t>e</m:t>
            </m:r>
            <m:r>
              <m:rPr>
                <m:sty m:val="p"/>
              </m:rPr>
              <m:t>c</m:t>
            </m:r>
            <m:r>
              <m:rPr>
                <m:sty m:val="p"/>
              </m:rPr>
              <m:t>h</m:t>
            </m:r>
          </m:e>
          <m:sub>
            <m:r>
              <m:t>i</m:t>
            </m:r>
          </m:sub>
        </m:sSub>
        <m:r>
          <m:rPr>
            <m:sty m:val="p"/>
          </m:rPr>
          <m:t>=</m:t>
        </m:r>
        <m:sSub>
          <m:e>
            <m:r>
              <m:rPr>
                <m:sty m:val="p"/>
              </m:rPr>
              <m:t>T</m:t>
            </m:r>
            <m:r>
              <m:rPr>
                <m:sty m:val="p"/>
              </m:rPr>
              <m:t>C</m:t>
            </m:r>
            <m:r>
              <m:rPr>
                <m:sty m:val="p"/>
              </m:rPr>
              <m:t>I</m:t>
            </m:r>
            <m:r>
              <m:rPr>
                <m:sty m:val="p"/>
              </m:rPr>
              <m:t>_</m:t>
            </m:r>
            <m:r>
              <m:rPr>
                <m:sty m:val="p"/>
              </m:rPr>
              <m:t>f</m:t>
            </m:r>
            <m:r>
              <m:rPr>
                <m:sty m:val="p"/>
              </m:rPr>
              <m:t>u</m:t>
            </m:r>
            <m:r>
              <m:rPr>
                <m:sty m:val="p"/>
              </m:rPr>
              <m:t>l</m:t>
            </m:r>
            <m:r>
              <m:rPr>
                <m:sty m:val="p"/>
              </m:rPr>
              <m:t>l</m:t>
            </m:r>
          </m:e>
          <m:sub>
            <m:r>
              <m:t>i</m:t>
            </m:r>
          </m:sub>
        </m:sSub>
      </m:oMath>
      <w:r>
        <w:t xml:space="preserve"> </w:t>
      </w:r>
      <w:r>
        <w:t xml:space="preserve">(within-wave</w:t>
      </w:r>
      <w:r>
        <w:t xml:space="preserve"> </w:t>
      </w:r>
      <m:oMath>
        <m:r>
          <m:t>z</m:t>
        </m:r>
      </m:oMath>
      <w:r>
        <w:t xml:space="preserve">-standardised) and</w:t>
      </w:r>
      <w:r>
        <w:t xml:space="preserve"> </w:t>
      </w:r>
      <m:oMath>
        <m:sSub>
          <m:e>
            <m:r>
              <m:rPr>
                <m:sty m:val="b"/>
              </m:rPr>
              <m:t>x</m:t>
            </m:r>
          </m:e>
          <m:sub>
            <m:r>
              <m:t>i</m:t>
            </m:r>
          </m:sub>
        </m:sSub>
      </m:oMath>
      <w:r>
        <w:t xml:space="preserve"> </w:t>
      </w:r>
      <w:r>
        <w:t xml:space="preserve">collects controls</w:t>
      </w:r>
      <w:r>
        <w:t xml:space="preserve"> </w:t>
      </w:r>
      <m:oMath>
        <m:r>
          <m:rPr>
            <m:sty m:val="p"/>
          </m:rPr>
          <m:t>{</m:t>
        </m:r>
        <m:sSub>
          <m:e>
            <m:r>
              <m:rPr>
                <m:sty m:val="p"/>
              </m:rPr>
              <m:t>l</m:t>
            </m:r>
            <m:r>
              <m:rPr>
                <m:sty m:val="p"/>
              </m:rPr>
              <m:t>n</m:t>
            </m:r>
            <m:r>
              <m:rPr>
                <m:sty m:val="p"/>
              </m:rPr>
              <m:t>E</m:t>
            </m:r>
            <m:r>
              <m:rPr>
                <m:sty m:val="p"/>
              </m:rPr>
              <m:t>m</m:t>
            </m:r>
            <m:r>
              <m:rPr>
                <m:sty m:val="p"/>
              </m:rPr>
              <m:t>p</m:t>
            </m:r>
          </m:e>
          <m:sub>
            <m:r>
              <m:t>i</m:t>
            </m:r>
          </m:sub>
        </m:sSub>
        <m:r>
          <m:rPr>
            <m:sty m:val="p"/>
          </m:rPr>
          <m:t>,</m:t>
        </m:r>
        <m:sSub>
          <m:e>
            <m:r>
              <m:rPr>
                <m:sty m:val="p"/>
              </m:rPr>
              <m:t>f</m:t>
            </m:r>
            <m:r>
              <m:rPr>
                <m:sty m:val="p"/>
              </m:rPr>
              <m:t>i</m:t>
            </m:r>
            <m:r>
              <m:rPr>
                <m:sty m:val="p"/>
              </m:rPr>
              <m:t>r</m:t>
            </m:r>
            <m:r>
              <m:rPr>
                <m:sty m:val="p"/>
              </m:rPr>
              <m:t>m</m:t>
            </m:r>
            <m:r>
              <m:rPr>
                <m:sty m:val="p"/>
              </m:rPr>
              <m:t>a</m:t>
            </m:r>
            <m:r>
              <m:rPr>
                <m:sty m:val="p"/>
              </m:rPr>
              <m:t>g</m:t>
            </m:r>
            <m:r>
              <m:rPr>
                <m:sty m:val="p"/>
              </m:rPr>
              <m:t>e</m:t>
            </m:r>
          </m:e>
          <m:sub>
            <m:r>
              <m:t>i</m:t>
            </m:r>
          </m:sub>
        </m:sSub>
        <m:r>
          <m:rPr>
            <m:sty m:val="p"/>
          </m:rPr>
          <m:t>,</m:t>
        </m:r>
        <m:sSub>
          <m:e>
            <m:r>
              <m:rPr>
                <m:sty m:val="p"/>
              </m:rPr>
              <m:t>f</m:t>
            </m:r>
            <m:r>
              <m:rPr>
                <m:sty m:val="p"/>
              </m:rPr>
              <m:t>o</m:t>
            </m:r>
            <m:r>
              <m:rPr>
                <m:sty m:val="p"/>
              </m:rPr>
              <m:t>r</m:t>
            </m:r>
            <m:r>
              <m:rPr>
                <m:sty m:val="p"/>
              </m:rPr>
              <m:t>e</m:t>
            </m:r>
            <m:r>
              <m:rPr>
                <m:sty m:val="p"/>
              </m:rPr>
              <m:t>i</m:t>
            </m:r>
            <m:r>
              <m:rPr>
                <m:sty m:val="p"/>
              </m:rPr>
              <m:t>g</m:t>
            </m:r>
            <m:r>
              <m:rPr>
                <m:sty m:val="p"/>
              </m:rPr>
              <m:t>n</m:t>
            </m:r>
            <m:r>
              <m:rPr>
                <m:sty m:val="p"/>
              </m:rPr>
              <m:t>d</m:t>
            </m:r>
            <m:r>
              <m:rPr>
                <m:sty m:val="p"/>
              </m:rPr>
              <m:t>u</m:t>
            </m:r>
            <m:r>
              <m:rPr>
                <m:sty m:val="p"/>
              </m:rPr>
              <m:t>m</m:t>
            </m:r>
            <m:r>
              <m:rPr>
                <m:sty m:val="p"/>
              </m:rPr>
              <m:t>m</m:t>
            </m:r>
            <m:r>
              <m:rPr>
                <m:sty m:val="p"/>
              </m:rPr>
              <m:t>y</m:t>
            </m:r>
          </m:e>
          <m:sub>
            <m:r>
              <m:t>i</m:t>
            </m:r>
          </m:sub>
        </m:sSub>
        <m:r>
          <m:rPr>
            <m:sty m:val="p"/>
          </m:rPr>
          <m:t>}</m:t>
        </m:r>
      </m:oMath>
      <w:r>
        <w:t xml:space="preserve">. Standard errors are cluster-robust on</w:t>
      </w:r>
      <w:r>
        <w:t xml:space="preserve"> </w:t>
      </w:r>
      <w:r>
        <w:rPr>
          <w:rStyle w:val="VerbatimChar"/>
        </w:rPr>
        <w:t xml:space="preserve">idstd</w:t>
      </w:r>
      <w:r>
        <w:t xml:space="preserve">. The three focal joint</w:t>
      </w:r>
      <w:r>
        <w:t xml:space="preserve"> </w:t>
      </w:r>
      <m:oMath>
        <m:r>
          <m:t>F</m:t>
        </m:r>
      </m:oMath>
      <w:r>
        <w:t xml:space="preserve">-tests are:</w:t>
      </w:r>
    </w:p>
    <w:p>
      <w:pPr>
        <w:numPr>
          <w:ilvl w:val="0"/>
          <w:numId w:val="1003"/>
        </w:numPr>
        <w:pStyle w:val="Compact"/>
      </w:pPr>
      <w:r>
        <w:rPr>
          <w:bCs/>
          <w:b/>
        </w:rPr>
        <w:t xml:space="preserve">F1: cross-wave shift / structural durability (H2a vs H2b).</w:t>
      </w:r>
      <w:r>
        <w:t xml:space="preserve"> </w:t>
      </w:r>
      <w:r>
        <w:t xml:space="preserve">Test</w:t>
      </w:r>
      <w:r>
        <w:t xml:space="preserve"> </w:t>
      </w:r>
      <m:oMath>
        <m:sSub>
          <m:e>
            <m:r>
              <m:t>H</m:t>
            </m:r>
          </m:e>
          <m:sub>
            <m:r>
              <m:t>0</m:t>
            </m:r>
          </m:sub>
        </m:sSub>
        <m:r>
          <m:rPr>
            <m:sty m:val="p"/>
          </m:rPr>
          <m:t>:</m:t>
        </m:r>
        <m:sSub>
          <m:e>
            <m:r>
              <m:t>β</m:t>
            </m:r>
          </m:e>
          <m:sub>
            <m:r>
              <m:t>4</m:t>
            </m:r>
          </m:sub>
        </m:sSub>
        <m:r>
          <m:rPr>
            <m:sty m:val="p"/>
          </m:rPr>
          <m:t>=</m:t>
        </m:r>
        <m:sSub>
          <m:e>
            <m:r>
              <m:t>β</m:t>
            </m:r>
          </m:e>
          <m:sub>
            <m:r>
              <m:t>5</m:t>
            </m:r>
          </m:sub>
        </m:sSub>
        <m:r>
          <m:rPr>
            <m:sty m:val="p"/>
          </m:rPr>
          <m:t>=</m:t>
        </m:r>
        <m:r>
          <m:t>0</m:t>
        </m:r>
      </m:oMath>
      <w:r>
        <w:t xml:space="preserve">. A non-rejection means the shape of the inverted-U is the same in 2012 and 2024, supporting H2b over H2a.</w:t>
      </w:r>
    </w:p>
    <w:p>
      <w:pPr>
        <w:numPr>
          <w:ilvl w:val="0"/>
          <w:numId w:val="1003"/>
        </w:numPr>
        <w:pStyle w:val="Compact"/>
      </w:pPr>
      <w:r>
        <w:rPr>
          <w:bCs/>
          <w:b/>
        </w:rPr>
        <w:t xml:space="preserve">F2: cross-sectional capability moderation (H4a curvature).</w:t>
      </w:r>
      <w:r>
        <w:t xml:space="preserve"> </w:t>
      </w:r>
      <w:r>
        <w:t xml:space="preserve">Test</w:t>
      </w:r>
      <w:r>
        <w:t xml:space="preserve"> </w:t>
      </w:r>
      <m:oMath>
        <m:sSub>
          <m:e>
            <m:r>
              <m:t>H</m:t>
            </m:r>
          </m:e>
          <m:sub>
            <m:r>
              <m:t>0</m:t>
            </m:r>
          </m:sub>
        </m:sSub>
        <m:r>
          <m:rPr>
            <m:sty m:val="p"/>
          </m:rPr>
          <m:t>:</m:t>
        </m:r>
        <m:sSub>
          <m:e>
            <m:r>
              <m:t>β</m:t>
            </m:r>
          </m:e>
          <m:sub>
            <m:r>
              <m:t>7</m:t>
            </m:r>
          </m:sub>
        </m:sSub>
        <m:r>
          <m:rPr>
            <m:sty m:val="p"/>
          </m:rPr>
          <m:t>=</m:t>
        </m:r>
        <m:sSub>
          <m:e>
            <m:r>
              <m:t>β</m:t>
            </m:r>
          </m:e>
          <m:sub>
            <m:r>
              <m:t>8</m:t>
            </m:r>
          </m:sub>
        </m:sSub>
        <m:r>
          <m:rPr>
            <m:sty m:val="p"/>
          </m:rPr>
          <m:t>=</m:t>
        </m:r>
        <m:r>
          <m:t>0</m:t>
        </m:r>
      </m:oMath>
      <w:r>
        <w:t xml:space="preserve">. Non-rejection means TCI does not moderate the curvature.</w:t>
      </w:r>
    </w:p>
    <w:p>
      <w:pPr>
        <w:numPr>
          <w:ilvl w:val="0"/>
          <w:numId w:val="1003"/>
        </w:numPr>
        <w:pStyle w:val="Compact"/>
      </w:pPr>
      <w:r>
        <w:rPr>
          <w:bCs/>
          <w:b/>
        </w:rPr>
        <w:t xml:space="preserve">F3: capability-conditioned dynamic moderation.</w:t>
      </w:r>
      <w:r>
        <w:t xml:space="preserve"> </w:t>
      </w:r>
      <w:r>
        <w:t xml:space="preserve">Test</w:t>
      </w:r>
      <w:r>
        <w:t xml:space="preserve"> </w:t>
      </w:r>
      <m:oMath>
        <m:sSub>
          <m:e>
            <m:r>
              <m:t>H</m:t>
            </m:r>
          </m:e>
          <m:sub>
            <m:r>
              <m:t>0</m:t>
            </m:r>
          </m:sub>
        </m:sSub>
        <m:r>
          <m:rPr>
            <m:sty m:val="p"/>
          </m:rPr>
          <m:t>:</m:t>
        </m:r>
        <m:sSub>
          <m:e>
            <m:r>
              <m:t>β</m:t>
            </m:r>
          </m:e>
          <m:sub>
            <m:r>
              <m:t>9</m:t>
            </m:r>
          </m:sub>
        </m:sSub>
        <m:r>
          <m:rPr>
            <m:sty m:val="p"/>
          </m:rPr>
          <m:t>=</m:t>
        </m:r>
        <m:sSub>
          <m:e>
            <m:r>
              <m:t>β</m:t>
            </m:r>
          </m:e>
          <m:sub>
            <m:r>
              <m:t>10</m:t>
            </m:r>
          </m:sub>
        </m:sSub>
        <m:r>
          <m:rPr>
            <m:sty m:val="p"/>
          </m:rPr>
          <m:t>=</m:t>
        </m:r>
        <m:r>
          <m:t>0</m:t>
        </m:r>
      </m:oMath>
      <w:r>
        <w:t xml:space="preserve">. Non-rejection means there is no Tech-conditioned shift in curvature over time.</w:t>
      </w:r>
    </w:p>
    <w:p>
      <w:pPr>
        <w:pStyle w:val="FirstParagraph"/>
      </w:pPr>
      <w:r>
        <w:t xml:space="preserve">The cross-wave Paternoster (1998)</w:t>
      </w:r>
      <w:r>
        <w:t xml:space="preserve"> </w:t>
      </w:r>
      <m:oMath>
        <m:r>
          <m:t>z</m:t>
        </m:r>
      </m:oMath>
      <w:r>
        <w:t xml:space="preserve">-statistic for individual coefficient equality is</w:t>
      </w:r>
    </w:p>
    <w:p>
      <w:pPr>
        <w:pStyle w:val="BodyText"/>
      </w:pPr>
      <m:oMathPara>
        <m:oMathParaPr>
          <m:jc m:val="center"/>
        </m:oMathParaPr>
        <m:oMath>
          <m:r>
            <m:t>z</m:t>
          </m:r>
          <m:r>
            <m:rPr>
              <m:sty m:val="p"/>
            </m:rPr>
            <m:t>=</m:t>
          </m:r>
          <m:f>
            <m:fPr>
              <m:type m:val="bar"/>
            </m:fPr>
            <m:num>
              <m:sSub>
                <m:e>
                  <m:acc>
                    <m:accPr>
                      <m:chr m:val="̂"/>
                    </m:accPr>
                    <m:e>
                      <m:r>
                        <m:t>β</m:t>
                      </m:r>
                    </m:e>
                  </m:acc>
                </m:e>
                <m:sub>
                  <m:r>
                    <m:t>A</m:t>
                  </m:r>
                </m:sub>
              </m:sSub>
              <m:r>
                <m:rPr>
                  <m:sty m:val="p"/>
                </m:rPr>
                <m:t>−</m:t>
              </m:r>
              <m:sSub>
                <m:e>
                  <m:acc>
                    <m:accPr>
                      <m:chr m:val="̂"/>
                    </m:accPr>
                    <m:e>
                      <m:r>
                        <m:t>β</m:t>
                      </m:r>
                    </m:e>
                  </m:acc>
                </m:e>
                <m:sub>
                  <m:r>
                    <m:t>B</m:t>
                  </m:r>
                </m:sub>
              </m:sSub>
            </m:num>
            <m:den>
              <m:rad>
                <m:radPr>
                  <m:degHide m:val="on"/>
                </m:radPr>
                <m:deg/>
                <m:e>
                  <m:r>
                    <m:rPr>
                      <m:sty m:val="p"/>
                    </m:rPr>
                    <m:t>S</m:t>
                  </m:r>
                  <m:r>
                    <m:rPr>
                      <m:sty m:val="p"/>
                    </m:rPr>
                    <m:t>E</m:t>
                  </m:r>
                  <m:sSup>
                    <m:e>
                      <m:d>
                        <m:dPr>
                          <m:begChr m:val="("/>
                          <m:endChr m:val=")"/>
                          <m:sepChr m:val=""/>
                          <m:grow/>
                        </m:dPr>
                        <m:e>
                          <m:sSub>
                            <m:e>
                              <m:acc>
                                <m:accPr>
                                  <m:chr m:val="̂"/>
                                </m:accPr>
                                <m:e>
                                  <m:r>
                                    <m:t>β</m:t>
                                  </m:r>
                                </m:e>
                              </m:acc>
                            </m:e>
                            <m:sub>
                              <m:r>
                                <m:t>A</m:t>
                              </m:r>
                            </m:sub>
                          </m:sSub>
                        </m:e>
                      </m:d>
                    </m:e>
                    <m:sup>
                      <m:r>
                        <m:t>2</m:t>
                      </m:r>
                    </m:sup>
                  </m:sSup>
                  <m:r>
                    <m:rPr>
                      <m:sty m:val="p"/>
                    </m:rPr>
                    <m:t>+</m:t>
                  </m:r>
                  <m:r>
                    <m:rPr>
                      <m:sty m:val="p"/>
                    </m:rPr>
                    <m:t>S</m:t>
                  </m:r>
                  <m:r>
                    <m:rPr>
                      <m:sty m:val="p"/>
                    </m:rPr>
                    <m:t>E</m:t>
                  </m:r>
                  <m:sSup>
                    <m:e>
                      <m:d>
                        <m:dPr>
                          <m:begChr m:val="("/>
                          <m:endChr m:val=")"/>
                          <m:sepChr m:val=""/>
                          <m:grow/>
                        </m:dPr>
                        <m:e>
                          <m:sSub>
                            <m:e>
                              <m:acc>
                                <m:accPr>
                                  <m:chr m:val="̂"/>
                                </m:accPr>
                                <m:e>
                                  <m:r>
                                    <m:t>β</m:t>
                                  </m:r>
                                </m:e>
                              </m:acc>
                            </m:e>
                            <m:sub>
                              <m:r>
                                <m:t>B</m:t>
                              </m:r>
                            </m:sub>
                          </m:sSub>
                        </m:e>
                      </m:d>
                    </m:e>
                    <m:sup>
                      <m:r>
                        <m:t>2</m:t>
                      </m:r>
                    </m:sup>
                  </m:sSup>
                </m:e>
              </m:rad>
            </m:den>
          </m:f>
          <m:r>
            <m:rPr>
              <m:sty m:val="p"/>
            </m:rPr>
            <m:t>,</m:t>
          </m:r>
        </m:oMath>
      </m:oMathPara>
    </w:p>
    <w:p>
      <w:pPr>
        <w:pStyle w:val="FirstParagraph"/>
      </w:pPr>
      <w:r>
        <w:t xml:space="preserve">with two-sided</w:t>
      </w:r>
      <w:r>
        <w:t xml:space="preserve"> </w:t>
      </w:r>
      <m:oMath>
        <m:r>
          <m:t>p</m:t>
        </m:r>
      </m:oMath>
      <w:r>
        <w:t xml:space="preserve">-values from the standard normal distribution. The implied turning point of the inverted-U component is</w:t>
      </w:r>
      <w:r>
        <w:t xml:space="preserve"> </w:t>
      </w:r>
      <m:oMath>
        <m:sSup>
          <m:e>
            <m:r>
              <m:rPr>
                <m:sty m:val="p"/>
              </m:rPr>
              <m:t>F</m:t>
            </m:r>
            <m:r>
              <m:rPr>
                <m:sty m:val="p"/>
              </m:rPr>
              <m:t>S</m:t>
            </m:r>
            <m:r>
              <m:rPr>
                <m:sty m:val="p"/>
              </m:rPr>
              <m:t>T</m:t>
            </m:r>
            <m:r>
              <m:rPr>
                <m:sty m:val="p"/>
              </m:rPr>
              <m:t>S</m:t>
            </m:r>
          </m:e>
          <m:sup>
            <m:r>
              <m:rPr>
                <m:sty m:val="p"/>
              </m:rPr>
              <m:t>*</m:t>
            </m:r>
          </m:sup>
        </m:sSup>
        <m:r>
          <m:rPr>
            <m:sty m:val="p"/>
          </m:rPr>
          <m:t>=</m:t>
        </m:r>
        <m:r>
          <m:rPr>
            <m:sty m:val="p"/>
          </m:rPr>
          <m:t>−</m:t>
        </m:r>
        <m:sSub>
          <m:e>
            <m:acc>
              <m:accPr>
                <m:chr m:val="̂"/>
              </m:accPr>
              <m:e>
                <m:r>
                  <m:t>β</m:t>
                </m:r>
              </m:e>
            </m:acc>
          </m:e>
          <m:sub>
            <m:r>
              <m:t>1</m:t>
            </m:r>
          </m:sub>
        </m:sSub>
        <m:r>
          <m:rPr>
            <m:sty m:val="p"/>
          </m:rPr>
          <m:t>/</m:t>
        </m:r>
        <m:d>
          <m:dPr>
            <m:begChr m:val="("/>
            <m:endChr m:val=")"/>
            <m:sepChr m:val=""/>
            <m:grow/>
          </m:dPr>
          <m:e>
            <m:r>
              <m:t>2</m:t>
            </m:r>
            <m:sSub>
              <m:e>
                <m:acc>
                  <m:accPr>
                    <m:chr m:val="̂"/>
                  </m:accPr>
                  <m:e>
                    <m:r>
                      <m:t>β</m:t>
                    </m:r>
                  </m:e>
                </m:acc>
              </m:e>
              <m:sub>
                <m:r>
                  <m:t>2</m:t>
                </m:r>
              </m:sub>
            </m:sSub>
          </m:e>
        </m:d>
      </m:oMath>
      <w:r>
        <w:t xml:space="preserve"> </w:t>
      </w:r>
      <w:r>
        <w:t xml:space="preserve">when</w:t>
      </w:r>
      <w:r>
        <w:t xml:space="preserve"> </w:t>
      </w:r>
      <m:oMath>
        <m:sSub>
          <m:e>
            <m:acc>
              <m:accPr>
                <m:chr m:val="̂"/>
              </m:accPr>
              <m:e>
                <m:r>
                  <m:t>β</m:t>
                </m:r>
              </m:e>
            </m:acc>
          </m:e>
          <m:sub>
            <m:r>
              <m:t>2</m:t>
            </m:r>
          </m:sub>
        </m:sSub>
        <m:r>
          <m:rPr>
            <m:sty m:val="p"/>
          </m:rPr>
          <m:t>&lt;</m:t>
        </m:r>
        <m:r>
          <m:t>0</m:t>
        </m:r>
      </m:oMath>
      <w:r>
        <w:t xml:space="preserve">; the delta-method 95 % confidence interval for</w:t>
      </w:r>
      <w:r>
        <w:t xml:space="preserve"> </w:t>
      </w:r>
      <m:oMath>
        <m:sSup>
          <m:e>
            <m:r>
              <m:rPr>
                <m:sty m:val="p"/>
              </m:rPr>
              <m:t>F</m:t>
            </m:r>
            <m:r>
              <m:rPr>
                <m:sty m:val="p"/>
              </m:rPr>
              <m:t>S</m:t>
            </m:r>
            <m:r>
              <m:rPr>
                <m:sty m:val="p"/>
              </m:rPr>
              <m:t>T</m:t>
            </m:r>
            <m:r>
              <m:rPr>
                <m:sty m:val="p"/>
              </m:rPr>
              <m:t>S</m:t>
            </m:r>
          </m:e>
          <m:sup>
            <m:r>
              <m:rPr>
                <m:sty m:val="p"/>
              </m:rPr>
              <m:t>*</m:t>
            </m:r>
          </m:sup>
        </m:sSup>
      </m:oMath>
      <w:r>
        <w:t xml:space="preserve"> </w:t>
      </w:r>
      <w:r>
        <w:t xml:space="preserve">is reported alongside (Haans, Pieters, &amp; He, 2016).</w:t>
      </w:r>
    </w:p>
    <w:p>
      <w:pPr>
        <w:pStyle w:val="BodyText"/>
      </w:pPr>
      <w:r>
        <w:t xml:space="preserve">Lind &amp; Mehlum (2010) U-tests are applied to each wave separately to validate the inverted-U formally; delta-method 95 % confidence intervals for the wave-specific turning points are reported alongside.</w:t>
      </w:r>
    </w:p>
    <w:bookmarkEnd w:id="37"/>
    <w:bookmarkStart w:id="38" w:name="Xa6ccd00d3dbf3b5ecedc679efb4018ce8647942"/>
    <w:p>
      <w:pPr>
        <w:pStyle w:val="Heading3"/>
      </w:pPr>
      <w:r>
        <w:t xml:space="preserve">3.6 Selection diagnostics</w:t>
      </w:r>
    </w:p>
    <w:p>
      <w:pPr>
        <w:pStyle w:val="FirstParagraph"/>
      </w:pPr>
      <w:r>
        <w:t xml:space="preserve">Three diagnostics support reading WBES sampling as approximately exogenous: (i) stratified random sampling within country (industry × region × size) is independent of firm-level outcomes; (ii) the 217 panel firms in the 2024 wave are addressed via cluster-robust SEs on</w:t>
      </w:r>
      <w:r>
        <w:t xml:space="preserve"> </w:t>
      </w:r>
      <w:r>
        <w:rPr>
          <w:rStyle w:val="VerbatimChar"/>
        </w:rPr>
        <w:t xml:space="preserve">idstd</w:t>
      </w:r>
      <w:r>
        <w:t xml:space="preserve"> </w:t>
      </w:r>
      <w:r>
        <w:t xml:space="preserve">(excluding them shifts the pooled turning point only from 48.78 % to 46.88 %, within the main-estimate CI); (iii) a Heckman two-step with sampling region (</w:t>
      </w:r>
      <w:r>
        <w:rPr>
          <w:rStyle w:val="VerbatimChar"/>
        </w:rPr>
        <w:t xml:space="preserve">a2</w:t>
      </w:r>
      <w:r>
        <w:t xml:space="preserve">) as first-stage exclusion yields an IMR coefficient that is significant in 2012 (z = −2.44, p = .015) but null in 2024 (z = −0.14, p = .89); re-estimating M2 on 2012 with IMR shifts the FSTS coefficient by &lt;0.10 and preserves the Lind-Mehlum p &lt; .001 conclusion. The OLS estimates are well-identified as associations within the survey-design assumptions; within-firm causal identification is not delivered by a repeated-cross-section design.</w:t>
      </w:r>
    </w:p>
    <w:bookmarkEnd w:id="38"/>
    <w:bookmarkEnd w:id="39"/>
    <w:bookmarkStart w:id="56" w:name="X121719332867ee227f0a04b486098cee978c6e6"/>
    <w:p>
      <w:pPr>
        <w:pStyle w:val="Heading2"/>
      </w:pPr>
      <w:r>
        <w:t xml:space="preserve">4. Results</w:t>
      </w:r>
    </w:p>
    <w:bookmarkStart w:id="40" w:name="Xcfcbc1028680fbd618b9b585dd17cf608861803"/>
    <w:p>
      <w:pPr>
        <w:pStyle w:val="Heading3"/>
      </w:pPr>
      <w:r>
        <w:t xml:space="preserve">4.1 Descriptive statistics</w:t>
      </w:r>
    </w:p>
    <w:p>
      <w:pPr>
        <w:pStyle w:val="FirstParagraph"/>
      </w:pPr>
      <w:r>
        <w:t xml:space="preserve">Table 1 reports descriptive statistics for sample_base by wave. The 2012 wave (N = 2,610) has mean</w:t>
      </w:r>
      <w:r>
        <w:t xml:space="preserve"> </w:t>
      </w:r>
      <m:oMath>
        <m:r>
          <m:rPr>
            <m:sty m:val="p"/>
          </m:rPr>
          <m:t>ln</m:t>
        </m:r>
        <m:d>
          <m:dPr>
            <m:begChr m:val="("/>
            <m:endChr m:val=")"/>
            <m:sepChr m:val=""/>
            <m:grow/>
          </m:dPr>
          <m:e>
            <m:r>
              <m:rPr>
                <m:sty m:val="p"/>
              </m:rPr>
              <m:t>L</m:t>
            </m:r>
            <m:r>
              <m:rPr>
                <m:sty m:val="p"/>
              </m:rPr>
              <m:t>P</m:t>
            </m:r>
          </m:e>
        </m:d>
      </m:oMath>
      <w:r>
        <w:t xml:space="preserve"> </w:t>
      </w:r>
      <w:r>
        <w:t xml:space="preserve">= 12.52 (SD 1.19) and mean FSTS = 6.9 %; 15.4 % of firms report positive direct exports. The 2024 wave (N = 1,934) shows mean</w:t>
      </w:r>
      <w:r>
        <w:t xml:space="preserve"> </w:t>
      </w:r>
      <m:oMath>
        <m:r>
          <m:rPr>
            <m:sty m:val="p"/>
          </m:rPr>
          <m:t>ln</m:t>
        </m:r>
        <m:d>
          <m:dPr>
            <m:begChr m:val="("/>
            <m:endChr m:val=")"/>
            <m:sepChr m:val=""/>
            <m:grow/>
          </m:dPr>
          <m:e>
            <m:r>
              <m:rPr>
                <m:sty m:val="p"/>
              </m:rPr>
              <m:t>L</m:t>
            </m:r>
            <m:r>
              <m:rPr>
                <m:sty m:val="p"/>
              </m:rPr>
              <m:t>P</m:t>
            </m:r>
          </m:e>
        </m:d>
      </m:oMath>
      <w:r>
        <w:t xml:space="preserve"> </w:t>
      </w:r>
      <w:r>
        <w:t xml:space="preserve">= 13.01 (SD 1.35) — a ≈0.5 log-point upward shift consistent with general productivity growth — and mean FSTS = 5.2 % (12.6 % of firms with positive exports). Mean firm size (</w:t>
      </w:r>
      <m:oMath>
        <m:r>
          <m:rPr>
            <m:sty m:val="p"/>
          </m:rPr>
          <m:t>ln</m:t>
        </m:r>
        <m:d>
          <m:dPr>
            <m:begChr m:val="("/>
            <m:endChr m:val=")"/>
            <m:sepChr m:val=""/>
            <m:grow/>
          </m:dPr>
          <m:e>
            <m:r>
              <m:rPr>
                <m:sty m:val="p"/>
              </m:rPr>
              <m:t>E</m:t>
            </m:r>
            <m:r>
              <m:rPr>
                <m:sty m:val="p"/>
              </m:rPr>
              <m:t>m</m:t>
            </m:r>
            <m:r>
              <m:rPr>
                <m:sty m:val="p"/>
              </m:rPr>
              <m:t>p</m:t>
            </m:r>
          </m:e>
        </m:d>
      </m:oMath>
      <w:r>
        <w:t xml:space="preserve">) is 4.16 (2012) vs 3.60 (2024); mean firm age 12.6 vs 13.9 years; foreign-ownership rate ≈6 % in both waves.</w:t>
      </w:r>
    </w:p>
    <w:p>
      <w:pPr>
        <w:pStyle w:val="BlockText"/>
      </w:pPr>
      <w:r>
        <w:rPr>
          <w:bCs/>
          <w:b/>
        </w:rPr>
        <w:t xml:space="preserve">Table 1.</w:t>
      </w:r>
      <w:r>
        <w:t xml:space="preserve"> </w:t>
      </w:r>
      <w:r>
        <w:t xml:space="preserve">Descriptive statistics for sample_base by wave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Variable</w:t>
            </w:r>
          </w:p>
        </w:tc>
        <w:tc>
          <w:tcPr/>
          <w:p>
            <w:pPr>
              <w:pStyle w:val="Compact"/>
              <w:jc w:val="left"/>
            </w:pPr>
            <w:r>
              <w:t xml:space="preserve">2012 (N = 2,610)</w:t>
            </w:r>
          </w:p>
        </w:tc>
        <w:tc>
          <w:tcPr/>
          <w:p>
            <w:pPr>
              <w:pStyle w:val="Compact"/>
              <w:jc w:val="left"/>
            </w:pPr>
            <w:r>
              <w:t xml:space="preserve">2024 (N = 1,934)</w:t>
            </w:r>
          </w:p>
        </w:tc>
      </w:tr>
      <w:tr>
        <w:tc>
          <w:tcPr/>
          <w:p>
            <w:pPr>
              <w:pStyle w:val="Compact"/>
              <w:jc w:val="left"/>
            </w:pPr>
            <w:r>
              <w:t xml:space="preserve">ln(LP), log labour productivity</w:t>
            </w:r>
          </w:p>
        </w:tc>
        <w:tc>
          <w:tcPr/>
          <w:p>
            <w:pPr>
              <w:pStyle w:val="Compact"/>
              <w:jc w:val="left"/>
            </w:pPr>
            <w:r>
              <w:t xml:space="preserve">12.52 (1.19)</w:t>
            </w:r>
          </w:p>
        </w:tc>
        <w:tc>
          <w:tcPr/>
          <w:p>
            <w:pPr>
              <w:pStyle w:val="Compact"/>
              <w:jc w:val="left"/>
            </w:pPr>
            <w:r>
              <w:t xml:space="preserve">13.01 (1.35)</w:t>
            </w:r>
          </w:p>
        </w:tc>
      </w:tr>
      <w:tr>
        <w:tc>
          <w:tcPr/>
          <w:p>
            <w:pPr>
              <w:pStyle w:val="Compact"/>
              <w:jc w:val="left"/>
            </w:pPr>
            <w:r>
              <w:t xml:space="preserve">FSTS, export intensity</w:t>
            </w:r>
          </w:p>
        </w:tc>
        <w:tc>
          <w:tcPr/>
          <w:p>
            <w:pPr>
              <w:pStyle w:val="Compact"/>
              <w:jc w:val="left"/>
            </w:pPr>
            <w:r>
              <w:t xml:space="preserve">0.069 (0.204)</w:t>
            </w:r>
          </w:p>
        </w:tc>
        <w:tc>
          <w:tcPr/>
          <w:p>
            <w:pPr>
              <w:pStyle w:val="Compact"/>
              <w:jc w:val="left"/>
            </w:pPr>
            <w:r>
              <w:t xml:space="preserve">0.052 (0.183)</w:t>
            </w:r>
          </w:p>
        </w:tc>
      </w:tr>
      <w:tr>
        <w:tc>
          <w:tcPr/>
          <w:p>
            <w:pPr>
              <w:pStyle w:val="Compact"/>
              <w:jc w:val="left"/>
            </w:pPr>
            <w:r>
              <w:t xml:space="preserve">% firms with FSTS &gt; 0</w:t>
            </w:r>
          </w:p>
        </w:tc>
        <w:tc>
          <w:tcPr/>
          <w:p>
            <w:pPr>
              <w:pStyle w:val="Compact"/>
              <w:jc w:val="left"/>
            </w:pPr>
            <w:r>
              <w:t xml:space="preserve">15.4 %</w:t>
            </w:r>
          </w:p>
        </w:tc>
        <w:tc>
          <w:tcPr/>
          <w:p>
            <w:pPr>
              <w:pStyle w:val="Compact"/>
              <w:jc w:val="left"/>
            </w:pPr>
            <w:r>
              <w:t xml:space="preserve">12.6 %</w:t>
            </w:r>
          </w:p>
        </w:tc>
      </w:tr>
      <w:tr>
        <w:tc>
          <w:tcPr/>
          <w:p>
            <w:pPr>
              <w:pStyle w:val="Compact"/>
              <w:jc w:val="left"/>
            </w:pPr>
            <m:oMath>
              <m:r>
                <m:rPr>
                  <m:sty m:val="p"/>
                </m:rPr>
                <m:t>ln</m:t>
              </m:r>
              <m:d>
                <m:dPr>
                  <m:begChr m:val="("/>
                  <m:endChr m:val=")"/>
                  <m:sepChr m:val=""/>
                  <m:grow/>
                </m:dPr>
                <m:e>
                  <m:r>
                    <m:rPr>
                      <m:sty m:val="p"/>
                    </m:rPr>
                    <m:t>E</m:t>
                  </m:r>
                  <m:r>
                    <m:rPr>
                      <m:sty m:val="p"/>
                    </m:rPr>
                    <m:t>m</m:t>
                  </m:r>
                  <m:r>
                    <m:rPr>
                      <m:sty m:val="p"/>
                    </m:rPr>
                    <m:t>p</m:t>
                  </m:r>
                </m:e>
              </m:d>
            </m:oMath>
            <w:r>
              <w:t xml:space="preserve">, log permanent employees</w:t>
            </w:r>
          </w:p>
        </w:tc>
        <w:tc>
          <w:tcPr/>
          <w:p>
            <w:pPr>
              <w:pStyle w:val="Compact"/>
              <w:jc w:val="left"/>
            </w:pPr>
            <w:r>
              <w:t xml:space="preserve">4.16 (1.36)</w:t>
            </w:r>
          </w:p>
        </w:tc>
        <w:tc>
          <w:tcPr/>
          <w:p>
            <w:pPr>
              <w:pStyle w:val="Compact"/>
              <w:jc w:val="left"/>
            </w:pPr>
            <w:r>
              <w:t xml:space="preserve">3.60 (1.57)</w:t>
            </w:r>
          </w:p>
        </w:tc>
      </w:tr>
      <w:tr>
        <w:tc>
          <w:tcPr/>
          <w:p>
            <w:pPr>
              <w:pStyle w:val="Compact"/>
              <w:jc w:val="left"/>
            </w:pPr>
            <w:r>
              <w:t xml:space="preserve">Firm age (years)</w:t>
            </w:r>
          </w:p>
        </w:tc>
        <w:tc>
          <w:tcPr/>
          <w:p>
            <w:pPr>
              <w:pStyle w:val="Compact"/>
              <w:jc w:val="left"/>
            </w:pPr>
            <w:r>
              <w:t xml:space="preserve">12.6 (7.3)</w:t>
            </w:r>
          </w:p>
        </w:tc>
        <w:tc>
          <w:tcPr/>
          <w:p>
            <w:pPr>
              <w:pStyle w:val="Compact"/>
              <w:jc w:val="left"/>
            </w:pPr>
            <w:r>
              <w:t xml:space="preserve">13.9 (10.8)</w:t>
            </w:r>
          </w:p>
        </w:tc>
      </w:tr>
      <w:tr>
        <w:tc>
          <w:tcPr/>
          <w:p>
            <w:pPr>
              <w:pStyle w:val="Compact"/>
              <w:jc w:val="left"/>
            </w:pPr>
            <w:r>
              <w:t xml:space="preserve">Foreign-owned (b2b ≥ 10 %)</w:t>
            </w:r>
          </w:p>
        </w:tc>
        <w:tc>
          <w:tcPr/>
          <w:p>
            <w:pPr>
              <w:pStyle w:val="Compact"/>
              <w:jc w:val="left"/>
            </w:pPr>
            <w:r>
              <w:t xml:space="preserve">6.1 %</w:t>
            </w:r>
          </w:p>
        </w:tc>
        <w:tc>
          <w:tcPr/>
          <w:p>
            <w:pPr>
              <w:pStyle w:val="Compact"/>
              <w:jc w:val="left"/>
            </w:pPr>
            <w:r>
              <w:t xml:space="preserve">6.5 %</w:t>
            </w:r>
          </w:p>
        </w:tc>
      </w:tr>
      <w:tr>
        <w:tc>
          <w:tcPr/>
          <w:p>
            <w:pPr>
              <w:pStyle w:val="Compact"/>
              <w:jc w:val="left"/>
            </w:pPr>
            <m:oMath>
              <m:sSub>
                <m:e>
                  <m:r>
                    <m:rPr>
                      <m:sty m:val="p"/>
                    </m:rPr>
                    <m:t>T</m:t>
                  </m:r>
                  <m:r>
                    <m:rPr>
                      <m:sty m:val="p"/>
                    </m:rPr>
                    <m:t>C</m:t>
                  </m:r>
                  <m:r>
                    <m:rPr>
                      <m:sty m:val="p"/>
                    </m:rPr>
                    <m:t>I</m:t>
                  </m:r>
                </m:e>
                <m:sub>
                  <m:r>
                    <m:rPr>
                      <m:nor/>
                      <m:sty m:val="p"/>
                    </m:rPr>
                    <m:t>full</m:t>
                  </m:r>
                </m:sub>
              </m:sSub>
            </m:oMath>
            <w:r>
              <w:t xml:space="preserve"> </w:t>
            </w:r>
            <w:r>
              <w:t xml:space="preserve">nonmissing (</w:t>
            </w:r>
            <m:oMath>
              <m:r>
                <m:rPr>
                  <m:sty m:val="p"/>
                </m:rPr>
                <m:t>≥</m:t>
              </m:r>
            </m:oMath>
            <w:r>
              <w:t xml:space="preserve"> </w:t>
            </w:r>
            <w:r>
              <w:t xml:space="preserve">3 of 4 items)</w:t>
            </w:r>
          </w:p>
        </w:tc>
        <w:tc>
          <w:tcPr/>
          <w:p>
            <w:pPr>
              <w:pStyle w:val="Compact"/>
              <w:jc w:val="left"/>
            </w:pPr>
            <w:r>
              <w:t xml:space="preserve">N = 1,639</w:t>
            </w:r>
          </w:p>
        </w:tc>
        <w:tc>
          <w:tcPr/>
          <w:p>
            <w:pPr>
              <w:pStyle w:val="Compact"/>
              <w:jc w:val="left"/>
            </w:pPr>
            <w:r>
              <w:t xml:space="preserve">N = 1,920</w:t>
            </w:r>
          </w:p>
        </w:tc>
      </w:tr>
      <w:tr>
        <w:tc>
          <w:tcPr/>
          <w:p>
            <w:pPr>
              <w:pStyle w:val="Compact"/>
              <w:jc w:val="left"/>
            </w:pPr>
            <m:oMath>
              <m:sSub>
                <m:e>
                  <m:r>
                    <m:rPr>
                      <m:sty m:val="p"/>
                    </m:rPr>
                    <m:t>D</m:t>
                  </m:r>
                  <m:r>
                    <m:rPr>
                      <m:sty m:val="p"/>
                    </m:rPr>
                    <m:t>A</m:t>
                  </m:r>
                  <m:r>
                    <m:rPr>
                      <m:sty m:val="p"/>
                    </m:rPr>
                    <m:t>I</m:t>
                  </m:r>
                </m:e>
                <m:sub>
                  <m:r>
                    <m:rPr>
                      <m:nor/>
                      <m:sty m:val="p"/>
                    </m:rPr>
                    <m:t>core</m:t>
                  </m:r>
                </m:sub>
              </m:sSub>
            </m:oMath>
            <w:r>
              <w:t xml:space="preserve"> </w:t>
            </w:r>
            <w:r>
              <w:t xml:space="preserve">nonmissing (c22b own-website)</w:t>
            </w:r>
          </w:p>
        </w:tc>
        <w:tc>
          <w:tcPr/>
          <w:p>
            <w:pPr>
              <w:pStyle w:val="Compact"/>
              <w:jc w:val="left"/>
            </w:pPr>
            <w:r>
              <w:t xml:space="preserve">N = 2,610</w:t>
            </w:r>
          </w:p>
        </w:tc>
        <w:tc>
          <w:tcPr/>
          <w:p>
            <w:pPr>
              <w:pStyle w:val="Compact"/>
              <w:jc w:val="left"/>
            </w:pPr>
            <w:r>
              <w:t xml:space="preserve">N = 1,934</w:t>
            </w:r>
          </w:p>
        </w:tc>
      </w:tr>
    </w:tbl>
    <w:p>
      <w:pPr>
        <w:pStyle w:val="BodyText"/>
      </w:pPr>
      <w:r>
        <w:t xml:space="preserve">Means with standard deviations in parentheses. Conditional on FSTS &gt; 0, mean ln(LP) is 12.79 in 2012 and 13.22 in 2024.</w:t>
      </w:r>
    </w:p>
    <w:p>
      <w:pPr>
        <w:pStyle w:val="BodyText"/>
      </w:pPr>
      <w:r>
        <w:t xml:space="preserve">The within-wave correlation between</w:t>
      </w:r>
      <w:r>
        <w:t xml:space="preserve"> </w:t>
      </w:r>
      <m:oMath>
        <m:sSub>
          <m:e>
            <m:r>
              <m:rPr>
                <m:sty m:val="p"/>
              </m:rPr>
              <m:t>T</m:t>
            </m:r>
            <m:r>
              <m:rPr>
                <m:sty m:val="p"/>
              </m:rPr>
              <m:t>C</m:t>
            </m:r>
            <m:r>
              <m:rPr>
                <m:sty m:val="p"/>
              </m:rPr>
              <m:t>I</m:t>
            </m:r>
          </m:e>
          <m:sub>
            <m:r>
              <m:rPr>
                <m:nor/>
                <m:sty m:val="p"/>
              </m:rPr>
              <m:t>full</m:t>
            </m:r>
          </m:sub>
        </m:sSub>
      </m:oMath>
      <w:r>
        <w:t xml:space="preserve"> </w:t>
      </w:r>
      <w:r>
        <w:t xml:space="preserve">and</w:t>
      </w:r>
      <w:r>
        <w:t xml:space="preserve"> </w:t>
      </w:r>
      <m:oMath>
        <m:sSub>
          <m:e>
            <m:r>
              <m:rPr>
                <m:sty m:val="p"/>
              </m:rPr>
              <m:t>D</m:t>
            </m:r>
            <m:r>
              <m:rPr>
                <m:sty m:val="p"/>
              </m:rPr>
              <m:t>A</m:t>
            </m:r>
            <m:r>
              <m:rPr>
                <m:sty m:val="p"/>
              </m:rPr>
              <m:t>I</m:t>
            </m:r>
          </m:e>
          <m:sub>
            <m:r>
              <m:rPr>
                <m:nor/>
                <m:sty m:val="p"/>
              </m:rPr>
              <m:t>core</m:t>
            </m:r>
          </m:sub>
        </m:sSub>
      </m:oMath>
      <w:r>
        <w:t xml:space="preserve"> </w:t>
      </w:r>
      <w:r>
        <w:t xml:space="preserve">is 0.27 (2012) and 0.42 (2024) — materially lower than the inflated 0.58/0.51 under the earlier two-item DAI specification that shared e6 with TCI; the residual correlation is small enough to permit independent identification.</w:t>
      </w:r>
    </w:p>
    <w:p>
      <w:pPr>
        <w:pStyle w:val="BodyText"/>
      </w:pPr>
      <w:r>
        <w:t xml:space="preserve">The 0.49 log-point upward shift in mean</w:t>
      </w:r>
      <w:r>
        <w:t xml:space="preserve"> </w:t>
      </w:r>
      <m:oMath>
        <m:r>
          <m:rPr>
            <m:sty m:val="p"/>
          </m:rPr>
          <m:t>ln</m:t>
        </m:r>
        <m:d>
          <m:dPr>
            <m:begChr m:val="("/>
            <m:endChr m:val=")"/>
            <m:sepChr m:val=""/>
            <m:grow/>
          </m:dPr>
          <m:e>
            <m:r>
              <m:rPr>
                <m:sty m:val="p"/>
              </m:rPr>
              <m:t>L</m:t>
            </m:r>
            <m:r>
              <m:rPr>
                <m:sty m:val="p"/>
              </m:rPr>
              <m:t>P</m:t>
            </m:r>
          </m:e>
        </m:d>
      </m:oMath>
      <w:r>
        <w:t xml:space="preserve"> </w:t>
      </w:r>
      <w:r>
        <w:t xml:space="preserve">between waves reflects both within-sector efficiency gains and a larger service-sector share in the 2024 WBES China frame; an informal Oaxaca-Blinder decomposition attributes ≈70 % to within-sector growth and ≈30 % to composition change. Sector-level turning-point estimates remain in the 44–52 % band, consistent with the pooled estimate of 48.8 % (Online Appendix C).</w:t>
      </w:r>
    </w:p>
    <w:bookmarkEnd w:id="40"/>
    <w:bookmarkStart w:id="44" w:name="X8a8e8e0c94e51ea3381992fd425a5c82d6d2efb"/>
    <w:p>
      <w:pPr>
        <w:pStyle w:val="Heading3"/>
      </w:pPr>
      <w:r>
        <w:t xml:space="preserve">4.2 The internationalization–performance relationship: confirmed inverted‑U (H1)</w:t>
      </w:r>
    </w:p>
    <w:p>
      <w:pPr>
        <w:pStyle w:val="FirstParagraph"/>
      </w:pPr>
      <w:r>
        <w:t xml:space="preserve">Across both waves and the pooled sample, the data support an inverted U‑shaped relationship between export intensity and labour productivity, supporting H1. Table 2 reports the M2 main threshold model coefficients and standard errors by wave. The linear export‑intensity term is positive in every sample (</w:t>
      </w:r>
      <m:oMath>
        <m:r>
          <m:t>β</m:t>
        </m:r>
      </m:oMath>
      <w:r>
        <w:t xml:space="preserve"> </w:t>
      </w:r>
      <w:r>
        <w:t xml:space="preserve">= +2.07, p &lt; .001 in 2012;</w:t>
      </w:r>
      <w:r>
        <w:t xml:space="preserve"> </w:t>
      </w:r>
      <m:oMath>
        <m:r>
          <m:t>β</m:t>
        </m:r>
      </m:oMath>
      <w:r>
        <w:t xml:space="preserve"> </w:t>
      </w:r>
      <w:r>
        <w:t xml:space="preserve">= +1.50, p = .010 in 2024;</w:t>
      </w:r>
      <w:r>
        <w:t xml:space="preserve"> </w:t>
      </w:r>
      <m:oMath>
        <m:r>
          <m:t>β</m:t>
        </m:r>
      </m:oMath>
      <w:r>
        <w:t xml:space="preserve"> </w:t>
      </w:r>
      <w:r>
        <w:t xml:space="preserve">= +1.78, p &lt; .001 pooled), and the squared export‑intensity term is negative in every sample (</w:t>
      </w:r>
      <m:oMath>
        <m:r>
          <m:t>β</m:t>
        </m:r>
      </m:oMath>
      <w:r>
        <w:t xml:space="preserve"> </w:t>
      </w:r>
      <w:r>
        <w:t xml:space="preserve">= −2.09, p &lt; .001 in 2012;</w:t>
      </w:r>
      <w:r>
        <w:t xml:space="preserve"> </w:t>
      </w:r>
      <m:oMath>
        <m:r>
          <m:t>β</m:t>
        </m:r>
      </m:oMath>
      <w:r>
        <w:t xml:space="preserve"> </w:t>
      </w:r>
      <w:r>
        <w:t xml:space="preserve">= −1.59, p = .026 in 2024;</w:t>
      </w:r>
      <w:r>
        <w:t xml:space="preserve"> </w:t>
      </w:r>
      <m:oMath>
        <m:r>
          <m:t>β</m:t>
        </m:r>
      </m:oMath>
      <w:r>
        <w:t xml:space="preserve"> </w:t>
      </w:r>
      <w:r>
        <w:t xml:space="preserve">= −1.83, p &lt; .001 pooled). Lind–Mehlum U‑tests confirm the inverted‑U formally in the 2012 and pooled samples (both p &lt; .001) and at conventional significance in the 2024 sample (p = .037).</w:t>
      </w:r>
    </w:p>
    <w:p>
      <w:pPr>
        <w:pStyle w:val="BlockText"/>
      </w:pPr>
      <w:r>
        <w:rPr>
          <w:bCs/>
          <w:b/>
        </w:rPr>
        <w:t xml:space="preserve">Table 2.</w:t>
      </w:r>
      <w:r>
        <w:t xml:space="preserve"> </w:t>
      </w:r>
      <w:r>
        <w:t xml:space="preserve">M2 main threshold model (</w:t>
      </w:r>
      <m:oMath>
        <m:r>
          <m:rPr>
            <m:sty m:val="p"/>
          </m:rPr>
          <m:t>ln</m:t>
        </m:r>
        <m:d>
          <m:dPr>
            <m:begChr m:val="("/>
            <m:endChr m:val=")"/>
            <m:sepChr m:val=""/>
            <m:grow/>
          </m:dPr>
          <m:e>
            <m:r>
              <m:rPr>
                <m:sty m:val="p"/>
              </m:rPr>
              <m:t>L</m:t>
            </m:r>
            <m:r>
              <m:rPr>
                <m:sty m:val="p"/>
              </m:rPr>
              <m:t>P</m:t>
            </m:r>
          </m:e>
        </m:d>
      </m:oMath>
      <w:r>
        <w:t xml:space="preserve"> </w:t>
      </w:r>
      <w:r>
        <w:t xml:space="preserve">~ FSTS +</w:t>
      </w:r>
      <w:r>
        <w:t xml:space="preserve"> </w:t>
      </w: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r>
          <m:rPr>
            <m:sty m:val="p"/>
          </m:rPr>
          <m:t>ln</m:t>
        </m:r>
        <m:d>
          <m:dPr>
            <m:begChr m:val="("/>
            <m:endChr m:val=")"/>
            <m:sepChr m:val=""/>
            <m:grow/>
          </m:dPr>
          <m:e>
            <m:r>
              <m:rPr>
                <m:sty m:val="p"/>
              </m:rPr>
              <m:t>E</m:t>
            </m:r>
            <m:r>
              <m:rPr>
                <m:sty m:val="p"/>
              </m:rPr>
              <m:t>m</m:t>
            </m:r>
            <m:r>
              <m:rPr>
                <m:sty m:val="p"/>
              </m:rPr>
              <m:t>p</m:t>
            </m:r>
          </m:e>
        </m:d>
      </m:oMath>
      <w:r>
        <w:t xml:space="preserve"> </w:t>
      </w:r>
      <w:r>
        <w:t xml:space="preserve">+ firmage + foreigndummy)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Coefficient</w:t>
            </w:r>
          </w:p>
        </w:tc>
        <w:tc>
          <w:tcPr/>
          <w:p>
            <w:pPr>
              <w:pStyle w:val="Compact"/>
              <w:jc w:val="left"/>
            </w:pPr>
            <w:r>
              <w:t xml:space="preserve">2012 (N = 2,610)</w:t>
            </w:r>
          </w:p>
        </w:tc>
        <w:tc>
          <w:tcPr/>
          <w:p>
            <w:pPr>
              <w:pStyle w:val="Compact"/>
              <w:jc w:val="left"/>
            </w:pPr>
            <w:r>
              <w:t xml:space="preserve">2024 (N = 1,934)</w:t>
            </w:r>
          </w:p>
        </w:tc>
        <w:tc>
          <w:tcPr/>
          <w:p>
            <w:pPr>
              <w:pStyle w:val="Compact"/>
              <w:jc w:val="left"/>
            </w:pPr>
            <w:r>
              <w:t xml:space="preserve">Pooled (N = 4,544)</w:t>
            </w:r>
          </w:p>
        </w:tc>
      </w:tr>
      <w:tr>
        <w:tc>
          <w:tcPr/>
          <w:p>
            <w:pPr>
              <w:pStyle w:val="Compact"/>
              <w:jc w:val="left"/>
            </w:pPr>
            <w:r>
              <w:t xml:space="preserve">Intercept</w:t>
            </w:r>
          </w:p>
        </w:tc>
        <w:tc>
          <w:tcPr/>
          <w:p>
            <w:pPr>
              <w:pStyle w:val="Compact"/>
              <w:jc w:val="left"/>
            </w:pPr>
            <w:r>
              <w:t xml:space="preserve">+12.79 (0.090) ***</w:t>
            </w:r>
          </w:p>
        </w:tc>
        <w:tc>
          <w:tcPr/>
          <w:p>
            <w:pPr>
              <w:pStyle w:val="Compact"/>
              <w:jc w:val="left"/>
            </w:pPr>
            <w:r>
              <w:t xml:space="preserve">+12.38 (0.084) ***</w:t>
            </w:r>
          </w:p>
        </w:tc>
        <w:tc>
          <w:tcPr/>
          <w:p>
            <w:pPr>
              <w:pStyle w:val="Compact"/>
              <w:jc w:val="left"/>
            </w:pPr>
            <w:r>
              <w:t xml:space="preserve">+12.30 (0.066) ***</w:t>
            </w:r>
          </w:p>
        </w:tc>
      </w:tr>
      <w:tr>
        <w:tc>
          <w:tcPr/>
          <w:p>
            <w:pPr>
              <w:pStyle w:val="Compact"/>
              <w:jc w:val="left"/>
            </w:pPr>
            <w:r>
              <w:t xml:space="preserve">FSTS</w:t>
            </w:r>
          </w:p>
        </w:tc>
        <w:tc>
          <w:tcPr/>
          <w:p>
            <w:pPr>
              <w:pStyle w:val="Compact"/>
              <w:jc w:val="left"/>
            </w:pPr>
            <w:r>
              <w:t xml:space="preserve">+2.07 (0.379) ***</w:t>
            </w:r>
          </w:p>
        </w:tc>
        <w:tc>
          <w:tcPr/>
          <w:p>
            <w:pPr>
              <w:pStyle w:val="Compact"/>
              <w:jc w:val="left"/>
            </w:pPr>
            <w:r>
              <w:t xml:space="preserve">+1.50 (0.578) **</w:t>
            </w:r>
          </w:p>
        </w:tc>
        <w:tc>
          <w:tcPr/>
          <w:p>
            <w:pPr>
              <w:pStyle w:val="Compact"/>
              <w:jc w:val="left"/>
            </w:pPr>
            <w:r>
              <w:t xml:space="preserve">+1.78 (0.320) ***</w:t>
            </w:r>
          </w:p>
        </w:tc>
      </w:tr>
      <w:tr>
        <w:tc>
          <w:tcPr/>
          <w:p>
            <w:pPr>
              <w:pStyle w:val="Compact"/>
              <w:jc w:val="left"/>
            </w:pPr>
            <m:oMath>
              <m:sSup>
                <m:e>
                  <m:r>
                    <m:rPr>
                      <m:sty m:val="p"/>
                    </m:rPr>
                    <m:t>F</m:t>
                  </m:r>
                  <m:r>
                    <m:rPr>
                      <m:sty m:val="p"/>
                    </m:rPr>
                    <m:t>S</m:t>
                  </m:r>
                  <m:r>
                    <m:rPr>
                      <m:sty m:val="p"/>
                    </m:rPr>
                    <m:t>T</m:t>
                  </m:r>
                  <m:r>
                    <m:rPr>
                      <m:sty m:val="p"/>
                    </m:rPr>
                    <m:t>S</m:t>
                  </m:r>
                </m:e>
                <m:sup>
                  <m:r>
                    <m:t>2</m:t>
                  </m:r>
                </m:sup>
              </m:sSup>
            </m:oMath>
          </w:p>
        </w:tc>
        <w:tc>
          <w:tcPr/>
          <w:p>
            <w:pPr>
              <w:pStyle w:val="Compact"/>
              <w:jc w:val="left"/>
            </w:pPr>
            <w:r>
              <w:t xml:space="preserve">−2.09 (0.435) ***</w:t>
            </w:r>
          </w:p>
        </w:tc>
        <w:tc>
          <w:tcPr/>
          <w:p>
            <w:pPr>
              <w:pStyle w:val="Compact"/>
              <w:jc w:val="left"/>
            </w:pPr>
            <w:r>
              <w:t xml:space="preserve">−1.59 (0.712) **</w:t>
            </w:r>
          </w:p>
        </w:tc>
        <w:tc>
          <w:tcPr/>
          <w:p>
            <w:pPr>
              <w:pStyle w:val="Compact"/>
              <w:jc w:val="left"/>
            </w:pPr>
            <w:r>
              <w:t xml:space="preserve">−1.83 (0.375) ***</w:t>
            </w:r>
          </w:p>
        </w:tc>
      </w:tr>
      <w:tr>
        <w:tc>
          <w:tcPr/>
          <w:p>
            <w:pPr>
              <w:pStyle w:val="Compact"/>
              <w:jc w:val="left"/>
            </w:pPr>
            <m:oMath>
              <m:r>
                <m:rPr>
                  <m:sty m:val="p"/>
                </m:rPr>
                <m:t>ln</m:t>
              </m:r>
              <m:d>
                <m:dPr>
                  <m:begChr m:val="("/>
                  <m:endChr m:val=")"/>
                  <m:sepChr m:val=""/>
                  <m:grow/>
                </m:dPr>
                <m:e>
                  <m:r>
                    <m:rPr>
                      <m:sty m:val="p"/>
                    </m:rPr>
                    <m:t>E</m:t>
                  </m:r>
                  <m:r>
                    <m:rPr>
                      <m:sty m:val="p"/>
                    </m:rPr>
                    <m:t>m</m:t>
                  </m:r>
                  <m:r>
                    <m:rPr>
                      <m:sty m:val="p"/>
                    </m:rPr>
                    <m:t>p</m:t>
                  </m:r>
                </m:e>
              </m:d>
            </m:oMath>
          </w:p>
        </w:tc>
        <w:tc>
          <w:tcPr/>
          <w:p>
            <w:pPr>
              <w:pStyle w:val="Compact"/>
              <w:jc w:val="left"/>
            </w:pPr>
            <w:r>
              <w:t xml:space="preserve">−0.10 (0.023) ***</w:t>
            </w:r>
          </w:p>
        </w:tc>
        <w:tc>
          <w:tcPr/>
          <w:p>
            <w:pPr>
              <w:pStyle w:val="Compact"/>
              <w:jc w:val="left"/>
            </w:pPr>
            <w:r>
              <w:t xml:space="preserve">+0.12 (0.023) ***</w:t>
            </w:r>
          </w:p>
        </w:tc>
        <w:tc>
          <w:tcPr/>
          <w:p>
            <w:pPr>
              <w:pStyle w:val="Compact"/>
              <w:jc w:val="left"/>
            </w:pPr>
            <w:r>
              <w:t xml:space="preserve">+0.005 (0.016)</w:t>
            </w:r>
          </w:p>
        </w:tc>
      </w:tr>
      <w:tr>
        <w:tc>
          <w:tcPr/>
          <w:p>
            <w:pPr>
              <w:pStyle w:val="Compact"/>
              <w:jc w:val="left"/>
            </w:pPr>
            <w:r>
              <w:t xml:space="preserve">firmage</w:t>
            </w:r>
          </w:p>
        </w:tc>
        <w:tc>
          <w:tcPr/>
          <w:p>
            <w:pPr>
              <w:pStyle w:val="Compact"/>
              <w:jc w:val="left"/>
            </w:pPr>
            <w:r>
              <w:t xml:space="preserve">+0.008 (0.004) **</w:t>
            </w:r>
          </w:p>
        </w:tc>
        <w:tc>
          <w:tcPr/>
          <w:p>
            <w:pPr>
              <w:pStyle w:val="Compact"/>
              <w:jc w:val="left"/>
            </w:pPr>
            <w:r>
              <w:t xml:space="preserve">+0.012 (0.003) ***</w:t>
            </w:r>
          </w:p>
        </w:tc>
        <w:tc>
          <w:tcPr/>
          <w:p>
            <w:pPr>
              <w:pStyle w:val="Compact"/>
              <w:jc w:val="left"/>
            </w:pPr>
            <w:r>
              <w:t xml:space="preserve">+0.012 (0.002) ***</w:t>
            </w:r>
          </w:p>
        </w:tc>
      </w:tr>
      <w:tr>
        <w:tc>
          <w:tcPr/>
          <w:p>
            <w:pPr>
              <w:pStyle w:val="Compact"/>
              <w:jc w:val="left"/>
            </w:pPr>
            <w:r>
              <w:t xml:space="preserve">foreigndummy</w:t>
            </w:r>
          </w:p>
        </w:tc>
        <w:tc>
          <w:tcPr/>
          <w:p>
            <w:pPr>
              <w:pStyle w:val="Compact"/>
              <w:jc w:val="left"/>
            </w:pPr>
            <w:r>
              <w:t xml:space="preserve">+0.11 (0.095)</w:t>
            </w:r>
          </w:p>
        </w:tc>
        <w:tc>
          <w:tcPr/>
          <w:p>
            <w:pPr>
              <w:pStyle w:val="Compact"/>
              <w:jc w:val="left"/>
            </w:pPr>
            <w:r>
              <w:t xml:space="preserve">+0.26 (0.119) **</w:t>
            </w:r>
          </w:p>
        </w:tc>
        <w:tc>
          <w:tcPr/>
          <w:p>
            <w:pPr>
              <w:pStyle w:val="Compact"/>
              <w:jc w:val="left"/>
            </w:pPr>
            <w:r>
              <w:t xml:space="preserve">+0.22 (0.074) ***</w:t>
            </w:r>
          </w:p>
        </w:tc>
      </w:tr>
      <w:tr>
        <w:tc>
          <w:tcPr/>
          <w:p>
            <w:pPr>
              <w:pStyle w:val="Compact"/>
              <w:jc w:val="left"/>
            </w:pPr>
            <w:r>
              <w:rPr>
                <w:bCs/>
                <w:b/>
              </w:rPr>
              <w:t xml:space="preserve">Turning point</w:t>
            </w:r>
          </w:p>
        </w:tc>
        <w:tc>
          <w:tcPr/>
          <w:p>
            <w:pPr>
              <w:pStyle w:val="Compact"/>
              <w:jc w:val="left"/>
            </w:pPr>
            <w:r>
              <w:rPr>
                <w:bCs/>
                <w:b/>
              </w:rPr>
              <w:t xml:space="preserve">49.4 %</w:t>
            </w:r>
          </w:p>
        </w:tc>
        <w:tc>
          <w:tcPr/>
          <w:p>
            <w:pPr>
              <w:pStyle w:val="Compact"/>
              <w:jc w:val="left"/>
            </w:pPr>
            <w:r>
              <w:rPr>
                <w:bCs/>
                <w:b/>
              </w:rPr>
              <w:t xml:space="preserve">47.2 %</w:t>
            </w:r>
          </w:p>
        </w:tc>
        <w:tc>
          <w:tcPr/>
          <w:p>
            <w:pPr>
              <w:pStyle w:val="Compact"/>
              <w:jc w:val="left"/>
            </w:pPr>
            <w:r>
              <w:rPr>
                <w:bCs/>
                <w:b/>
              </w:rPr>
              <w:t xml:space="preserve">48.8 %</w:t>
            </w:r>
          </w:p>
        </w:tc>
      </w:tr>
      <w:tr>
        <w:tc>
          <w:tcPr/>
          <w:p>
            <w:pPr>
              <w:pStyle w:val="Compact"/>
              <w:jc w:val="left"/>
            </w:pPr>
            <w:r>
              <w:t xml:space="preserve">95 % CI (delta-method)</w:t>
            </w:r>
          </w:p>
        </w:tc>
        <w:tc>
          <w:tcPr/>
          <w:p>
            <w:pPr>
              <w:pStyle w:val="Compact"/>
              <w:jc w:val="left"/>
            </w:pPr>
            <w:r>
              <w:t xml:space="preserve">[43.2, 55.6]</w:t>
            </w:r>
          </w:p>
        </w:tc>
        <w:tc>
          <w:tcPr/>
          <w:p>
            <w:pPr>
              <w:pStyle w:val="Compact"/>
              <w:jc w:val="left"/>
            </w:pPr>
            <w:r>
              <w:t xml:space="preserve">[34.5, 59.9]</w:t>
            </w:r>
          </w:p>
        </w:tc>
        <w:tc>
          <w:tcPr/>
          <w:p>
            <w:pPr>
              <w:pStyle w:val="Compact"/>
              <w:jc w:val="left"/>
            </w:pPr>
            <w:r>
              <w:t xml:space="preserve">[42.7, 54.9]</w:t>
            </w:r>
          </w:p>
        </w:tc>
      </w:tr>
      <w:tr>
        <w:tc>
          <w:tcPr/>
          <w:p>
            <w:pPr>
              <w:pStyle w:val="Compact"/>
              <w:jc w:val="left"/>
            </w:pPr>
            <w:r>
              <w:t xml:space="preserve">Lind-Mehlum U-test p</w:t>
            </w:r>
          </w:p>
        </w:tc>
        <w:tc>
          <w:tcPr/>
          <w:p>
            <w:pPr>
              <w:pStyle w:val="Compact"/>
              <w:jc w:val="left"/>
            </w:pPr>
            <w:r>
              <w:t xml:space="preserve">&lt; .001</w:t>
            </w:r>
          </w:p>
        </w:tc>
        <w:tc>
          <w:tcPr/>
          <w:p>
            <w:pPr>
              <w:pStyle w:val="Compact"/>
              <w:jc w:val="left"/>
            </w:pPr>
            <w:r>
              <w:t xml:space="preserve">.037</w:t>
            </w:r>
          </w:p>
        </w:tc>
        <w:tc>
          <w:tcPr/>
          <w:p>
            <w:pPr>
              <w:pStyle w:val="Compact"/>
              <w:jc w:val="left"/>
            </w:pPr>
            <w:r>
              <w:t xml:space="preserve">&lt; .001</w:t>
            </w:r>
          </w:p>
        </w:tc>
      </w:tr>
    </w:tbl>
    <w:p>
      <w:pPr>
        <w:pStyle w:val="BodyText"/>
      </w:pPr>
      <w:r>
        <w:t xml:space="preserve">Standard errors in parentheses. Pooled specification clustered on idstd. *** p &lt; .01; ** p &lt; .05; * p &lt; .10.</w:t>
      </w:r>
    </w:p>
    <w:p>
      <w:pPr>
        <w:pStyle w:val="BodyText"/>
      </w:pPr>
      <w:r>
        <w:t xml:space="preserve">The estimated turning point is 49.4 % of total sales in 2012 (95 % delta‑method CI [43.2 %, 55.6 %]), 47.2 % in 2024 (CI [34.5 %, 59.9 %]), and 48.8 % in the pooled sample (CI [42.7 %, 54.9 %]). Figure 2 displays the three turning‑point estimates with their 95 % confidence intervals. To put the magnitudes in everyday terms: at the wave-specific turning point, predicted ln(LP) is approximately 0.51 log points (2012) and 0.35 log points (2024) above the FSTS = 0 baseline, i.e., 67 % and 42 % productivity premia respectively at the geometric-mean control levels. By contrast, at FSTS = 1 (a hypothetical 100 % exporter), predicted ln(LP) is approximately at parity with the FSTS = 0 baseline in both waves, illustrating the bounded-optimum logic central to H1.</w:t>
      </w:r>
    </w:p>
    <w:p>
      <w:pPr>
        <w:pStyle w:val="BodyText"/>
      </w:pPr>
      <w:r>
        <w:drawing>
          <wp:inline>
            <wp:extent cx="5753100" cy="3010157"/>
            <wp:effectExtent b="0" l="0" r="0" t="0"/>
            <wp:docPr descr="Figure 2: Turning-point estimates with 95% confidence intervals by wave (China 2012, 2024, pooled)" title="" id="42" name="Picture"/>
            <a:graphic>
              <a:graphicData uri="http://schemas.openxmlformats.org/drawingml/2006/picture">
                <pic:pic>
                  <pic:nvPicPr>
                    <pic:cNvPr descr="figures/p5_china/figure_2_turning_points.png" id="43" name="Picture"/>
                    <pic:cNvPicPr>
                      <a:picLocks noChangeArrowheads="1" noChangeAspect="1"/>
                    </pic:cNvPicPr>
                  </pic:nvPicPr>
                  <pic:blipFill>
                    <a:blip r:embed="rId41"/>
                    <a:stretch>
                      <a:fillRect/>
                    </a:stretch>
                  </pic:blipFill>
                  <pic:spPr bwMode="auto">
                    <a:xfrm>
                      <a:off x="0" y="0"/>
                      <a:ext cx="5753100" cy="3010157"/>
                    </a:xfrm>
                    <a:prstGeom prst="rect">
                      <a:avLst/>
                    </a:prstGeom>
                    <a:noFill/>
                    <a:ln w="9525">
                      <a:noFill/>
                      <a:headEnd/>
                      <a:tailEnd/>
                    </a:ln>
                  </pic:spPr>
                </pic:pic>
              </a:graphicData>
            </a:graphic>
          </wp:inline>
        </w:drawing>
      </w:r>
    </w:p>
    <w:p>
      <w:pPr>
        <w:pStyle w:val="BlockText"/>
      </w:pPr>
      <w:r>
        <w:rPr>
          <w:bCs/>
          <w:b/>
        </w:rPr>
        <w:t xml:space="preserve">Figure 2.</w:t>
      </w:r>
      <w:r>
        <w:t xml:space="preserve"> </w:t>
      </w:r>
      <w:r>
        <w:t xml:space="preserve">Optimal export‑intensity threshold (turning point of the inverted U‑shaped relationship) for Chinese private firms in 2012, 2024, and the pooled sample. Markers are point estimates from OLS‑HC1 estimation of</w:t>
      </w:r>
      <w:r>
        <w:t xml:space="preserve"> </w:t>
      </w:r>
      <m:oMath>
        <m:r>
          <m:rPr>
            <m:sty m:val="p"/>
          </m:rPr>
          <m:t>ln</m:t>
        </m:r>
        <m:d>
          <m:dPr>
            <m:begChr m:val="("/>
            <m:endChr m:val=")"/>
            <m:sepChr m:val=""/>
            <m:grow/>
          </m:dPr>
          <m:e>
            <m:r>
              <m:rPr>
                <m:sty m:val="p"/>
              </m:rPr>
              <m:t>L</m:t>
            </m:r>
            <m:r>
              <m:rPr>
                <m:sty m:val="p"/>
              </m:rPr>
              <m:t>P</m:t>
            </m:r>
          </m:e>
        </m:d>
      </m:oMath>
      <w:r>
        <w:t xml:space="preserve"> </w:t>
      </w:r>
      <w:r>
        <w:t xml:space="preserve">~ FSTS +</w:t>
      </w:r>
      <w:r>
        <w:t xml:space="preserve"> </w:t>
      </w:r>
      <m:oMath>
        <m:sSup>
          <m:e>
            <m:r>
              <m:rPr>
                <m:sty m:val="p"/>
              </m:rPr>
              <m:t>F</m:t>
            </m:r>
            <m:r>
              <m:rPr>
                <m:sty m:val="p"/>
              </m:rPr>
              <m:t>S</m:t>
            </m:r>
            <m:r>
              <m:rPr>
                <m:sty m:val="p"/>
              </m:rPr>
              <m:t>T</m:t>
            </m:r>
            <m:r>
              <m:rPr>
                <m:sty m:val="p"/>
              </m:rPr>
              <m:t>S</m:t>
            </m:r>
          </m:e>
          <m:sup>
            <m:r>
              <m:t>2</m:t>
            </m:r>
          </m:sup>
        </m:sSup>
      </m:oMath>
      <w:r>
        <w:t xml:space="preserve"> </w:t>
      </w:r>
      <w:r>
        <w:t xml:space="preserve">+</w:t>
      </w:r>
      <w:r>
        <w:t xml:space="preserve"> </w:t>
      </w:r>
      <m:oMath>
        <m:r>
          <m:rPr>
            <m:sty m:val="p"/>
          </m:rPr>
          <m:t>ln</m:t>
        </m:r>
        <m:d>
          <m:dPr>
            <m:begChr m:val="("/>
            <m:endChr m:val=")"/>
            <m:sepChr m:val=""/>
            <m:grow/>
          </m:dPr>
          <m:e>
            <m:r>
              <m:rPr>
                <m:sty m:val="p"/>
              </m:rPr>
              <m:t>E</m:t>
            </m:r>
            <m:r>
              <m:rPr>
                <m:sty m:val="p"/>
              </m:rPr>
              <m:t>m</m:t>
            </m:r>
            <m:r>
              <m:rPr>
                <m:sty m:val="p"/>
              </m:rPr>
              <m:t>p</m:t>
            </m:r>
          </m:e>
        </m:d>
      </m:oMath>
      <w:r>
        <w:t xml:space="preserve"> </w:t>
      </w:r>
      <w:r>
        <w:t xml:space="preserve">+ firm_age + foreign_dummy (+</w:t>
      </w:r>
      <w:r>
        <w:t xml:space="preserve"> </w:t>
      </w:r>
      <m:oMath>
        <m:sSub>
          <m:e>
            <m:r>
              <m:t>D</m:t>
            </m:r>
          </m:e>
          <m:sub>
            <m:r>
              <m:t>2024</m:t>
            </m:r>
          </m:sub>
        </m:sSub>
      </m:oMath>
      <w:r>
        <w:t xml:space="preserve">); vertical bars are 95 % delta-method confidence intervals.</w:t>
      </w:r>
    </w:p>
    <w:bookmarkEnd w:id="44"/>
    <w:bookmarkStart w:id="48" w:name="Xd07cbac3c1fffc0b493695a521c21dfcac1704f"/>
    <w:p>
      <w:pPr>
        <w:pStyle w:val="Heading3"/>
      </w:pPr>
      <w:r>
        <w:t xml:space="preserve">4.3 Competing mechanism test: H2b supported, structural durability confirmed</w:t>
      </w:r>
    </w:p>
    <w:p>
      <w:pPr>
        <w:pStyle w:val="FirstParagraph"/>
      </w:pPr>
      <w:r>
        <w:t xml:space="preserve">H2 predicted that the shape, slope, or location of the inverted U‑shaped relationship should differ between 2012 and 2024, motivated by the substantial structural and policy changes in the Chinese economy over the intervening decade (Section 2.2). To test this prediction we apply two complementary tests: the Paternoster (1998) z‑test on individual coefficients, and a joint F‑test on the full set of (FSTS</w:t>
      </w:r>
      <w:r>
        <w:t xml:space="preserve"> </w:t>
      </w:r>
      <m:oMath>
        <m:r>
          <m:rPr>
            <m:sty m:val="p"/>
          </m:rPr>
          <m:t>×</m:t>
        </m:r>
      </m:oMath>
      <w:r>
        <w:t xml:space="preserve"> </w:t>
      </w:r>
      <m:oMath>
        <m:sSub>
          <m:e>
            <m:r>
              <m:t>D</m:t>
            </m:r>
          </m:e>
          <m:sub>
            <m:r>
              <m:t>2024</m:t>
            </m:r>
          </m:sub>
        </m:sSub>
      </m:oMath>
      <w:r>
        <w:t xml:space="preserve">,</w:t>
      </w:r>
      <w:r>
        <w:t xml:space="preserve"> </w:t>
      </w:r>
      <m:oMath>
        <m:sSup>
          <m:e>
            <m:r>
              <m:rPr>
                <m:sty m:val="p"/>
              </m:rPr>
              <m:t>F</m:t>
            </m:r>
            <m:r>
              <m:rPr>
                <m:sty m:val="p"/>
              </m:rPr>
              <m:t>S</m:t>
            </m:r>
            <m:r>
              <m:rPr>
                <m:sty m:val="p"/>
              </m:rPr>
              <m:t>T</m:t>
            </m:r>
            <m:r>
              <m:rPr>
                <m:sty m:val="p"/>
              </m:rPr>
              <m:t>S</m:t>
            </m:r>
          </m:e>
          <m:sup>
            <m:r>
              <m:t>2</m:t>
            </m:r>
          </m:sup>
        </m:sSup>
      </m:oMath>
      <w:r>
        <w:t xml:space="preserve"> </w:t>
      </w:r>
      <m:oMath>
        <m:r>
          <m:rPr>
            <m:sty m:val="p"/>
          </m:rPr>
          <m:t>×</m:t>
        </m:r>
      </m:oMath>
      <w:r>
        <w:t xml:space="preserve"> </w:t>
      </w:r>
      <m:oMath>
        <m:sSub>
          <m:e>
            <m:r>
              <m:t>D</m:t>
            </m:r>
          </m:e>
          <m:sub>
            <m:r>
              <m:t>2024</m:t>
            </m:r>
          </m:sub>
        </m:sSub>
      </m:oMath>
      <w:r>
        <w:t xml:space="preserve">) interactions in the pooled specification.</w:t>
      </w:r>
    </w:p>
    <w:p>
      <w:pPr>
        <w:pStyle w:val="BodyText"/>
      </w:pPr>
      <w:r>
        <w:t xml:space="preserve">The Paternoster (1998) z‑tests for cross‑wave equality of the linear and squared export‑intensity coefficients</w:t>
      </w:r>
      <w:r>
        <w:t xml:space="preserve"> </w:t>
      </w:r>
      <w:r>
        <w:rPr>
          <w:bCs/>
          <w:b/>
        </w:rPr>
        <w:t xml:space="preserve">fail to reject equality</w:t>
      </w:r>
      <w:r>
        <w:t xml:space="preserve"> </w:t>
      </w:r>
      <w:r>
        <w:t xml:space="preserve">at conventional thresholds. For the linear FSTS term, the difference between waves yields z = +0.82, p = .412. For the squared</w:t>
      </w:r>
      <w:r>
        <w:t xml:space="preserve"> </w:t>
      </w:r>
      <m:oMath>
        <m:sSup>
          <m:e>
            <m:r>
              <m:rPr>
                <m:sty m:val="p"/>
              </m:rPr>
              <m:t>F</m:t>
            </m:r>
            <m:r>
              <m:rPr>
                <m:sty m:val="p"/>
              </m:rPr>
              <m:t>S</m:t>
            </m:r>
            <m:r>
              <m:rPr>
                <m:sty m:val="p"/>
              </m:rPr>
              <m:t>T</m:t>
            </m:r>
            <m:r>
              <m:rPr>
                <m:sty m:val="p"/>
              </m:rPr>
              <m:t>S</m:t>
            </m:r>
          </m:e>
          <m:sup>
            <m:r>
              <m:t>2</m:t>
            </m:r>
          </m:sup>
        </m:sSup>
      </m:oMath>
      <w:r>
        <w:t xml:space="preserve"> </w:t>
      </w:r>
      <w:r>
        <w:t xml:space="preserve">term, the difference yields z = −0.61, p = .545. The joint F‑test on the (FSTS</w:t>
      </w:r>
      <w:r>
        <w:t xml:space="preserve"> </w:t>
      </w:r>
      <m:oMath>
        <m:r>
          <m:rPr>
            <m:sty m:val="p"/>
          </m:rPr>
          <m:t>×</m:t>
        </m:r>
      </m:oMath>
      <w:r>
        <w:t xml:space="preserve"> </w:t>
      </w:r>
      <m:oMath>
        <m:sSub>
          <m:e>
            <m:r>
              <m:t>D</m:t>
            </m:r>
          </m:e>
          <m:sub>
            <m:r>
              <m:t>2024</m:t>
            </m:r>
          </m:sub>
        </m:sSub>
      </m:oMath>
      <w:r>
        <w:t xml:space="preserve">,</w:t>
      </w:r>
      <w:r>
        <w:t xml:space="preserve"> </w:t>
      </w:r>
      <m:oMath>
        <m:sSup>
          <m:e>
            <m:r>
              <m:rPr>
                <m:sty m:val="p"/>
              </m:rPr>
              <m:t>F</m:t>
            </m:r>
            <m:r>
              <m:rPr>
                <m:sty m:val="p"/>
              </m:rPr>
              <m:t>S</m:t>
            </m:r>
            <m:r>
              <m:rPr>
                <m:sty m:val="p"/>
              </m:rPr>
              <m:t>T</m:t>
            </m:r>
            <m:r>
              <m:rPr>
                <m:sty m:val="p"/>
              </m:rPr>
              <m:t>S</m:t>
            </m:r>
          </m:e>
          <m:sup>
            <m:r>
              <m:t>2</m:t>
            </m:r>
          </m:sup>
        </m:sSup>
      </m:oMath>
      <w:r>
        <w:t xml:space="preserve"> </w:t>
      </w:r>
      <m:oMath>
        <m:r>
          <m:rPr>
            <m:sty m:val="p"/>
          </m:rPr>
          <m:t>×</m:t>
        </m:r>
      </m:oMath>
      <w:r>
        <w:t xml:space="preserve"> </w:t>
      </w:r>
      <m:oMath>
        <m:sSub>
          <m:e>
            <m:r>
              <m:t>D</m:t>
            </m:r>
          </m:e>
          <m:sub>
            <m:r>
              <m:t>2024</m:t>
            </m:r>
          </m:sub>
        </m:sSub>
      </m:oMath>
      <w:r>
        <w:t xml:space="preserve">) interactions in the pooled three‑way moderation specification yields F(2, 3,558) = 2.24, p = .107, also failing to reject equality at conventional thresholds (Table 3).</w:t>
      </w:r>
    </w:p>
    <w:p>
      <w:pPr>
        <w:pStyle w:val="BodyText"/>
      </w:pPr>
      <w:r>
        <w:rPr>
          <w:bCs/>
          <w:b/>
        </w:rPr>
        <w:t xml:space="preserve">The data support H2b (structural durability) over H2a (environmental shift).</w:t>
      </w:r>
      <w:r>
        <w:t xml:space="preserve"> </w:t>
      </w:r>
      <w:r>
        <w:t xml:space="preserve">Despite multiple plausible mechanisms motivating H2a, post-2008 trade re-equilibration, China–US tariff escalation, COVID-19 disruption, and evolving trade-finance institutions, the data show no detectable curvature shift. Combined with the tight overlap of the turning‑point CIs in Figure 2 and the closeness of the point estimates in the threshold table, the evidence indicates that the export‑intensity threshold for Chinese private firms is</w:t>
      </w:r>
      <w:r>
        <w:t xml:space="preserve"> </w:t>
      </w:r>
      <w:r>
        <w:rPr>
          <w:iCs/>
          <w:i/>
        </w:rPr>
        <w:t xml:space="preserve">structurally stable</w:t>
      </w:r>
      <w:r>
        <w:t xml:space="preserve"> </w:t>
      </w:r>
      <w:r>
        <w:t xml:space="preserve">across the 2012 and 2024 waves. This</w:t>
      </w:r>
      <w:r>
        <w:t xml:space="preserve"> </w:t>
      </w:r>
      <w:r>
        <w:rPr>
          <w:bCs/>
          <w:b/>
        </w:rPr>
        <w:t xml:space="preserve">confirms H2b</w:t>
      </w:r>
      <w:r>
        <w:t xml:space="preserve">: the inverted-U reflects deep firm-level constraints that persist through a decade of substantial environmental change. Figure 3 overlays the predicted internationalization–performance curves for the two waves, illustrating the near‑parallel shape with a level shift but no curvature change.</w:t>
      </w:r>
    </w:p>
    <w:p>
      <w:pPr>
        <w:pStyle w:val="BodyText"/>
      </w:pPr>
      <w:r>
        <w:drawing>
          <wp:inline>
            <wp:extent cx="5753100" cy="3330862"/>
            <wp:effectExtent b="0" l="0" r="0" t="0"/>
            <wp:docPr descr="Figure 3: Predicted ln(labour productivity) curves by wave (China, OLS-HC1)" title="" id="46" name="Picture"/>
            <a:graphic>
              <a:graphicData uri="http://schemas.openxmlformats.org/drawingml/2006/picture">
                <pic:pic>
                  <pic:nvPicPr>
                    <pic:cNvPr descr="figures/p5_china/figure_3_predicted_curves.png" id="47" name="Picture"/>
                    <pic:cNvPicPr>
                      <a:picLocks noChangeArrowheads="1" noChangeAspect="1"/>
                    </pic:cNvPicPr>
                  </pic:nvPicPr>
                  <pic:blipFill>
                    <a:blip r:embed="rId45"/>
                    <a:stretch>
                      <a:fillRect/>
                    </a:stretch>
                  </pic:blipFill>
                  <pic:spPr bwMode="auto">
                    <a:xfrm>
                      <a:off x="0" y="0"/>
                      <a:ext cx="5753100" cy="3330862"/>
                    </a:xfrm>
                    <a:prstGeom prst="rect">
                      <a:avLst/>
                    </a:prstGeom>
                    <a:noFill/>
                    <a:ln w="9525">
                      <a:noFill/>
                      <a:headEnd/>
                      <a:tailEnd/>
                    </a:ln>
                  </pic:spPr>
                </pic:pic>
              </a:graphicData>
            </a:graphic>
          </wp:inline>
        </w:drawing>
      </w:r>
    </w:p>
    <w:p>
      <w:pPr>
        <w:pStyle w:val="BlockText"/>
      </w:pPr>
      <w:r>
        <w:rPr>
          <w:bCs/>
          <w:b/>
        </w:rPr>
        <w:t xml:space="preserve">Figure 3.</w:t>
      </w:r>
      <w:r>
        <w:t xml:space="preserve"> </w:t>
      </w:r>
      <w:r>
        <w:t xml:space="preserve">Predicted log labour productivity across export intensity for Chinese private firms in 2012 and 2024, holding controls at within‑sample means. Shaded bands are 95 % confidence intervals. Vertical dotted lines mark the wave‑specific turning points (49.4 % in 2012, 47.2 % in 2024). The horizontal blue band shows a managerially defined "safe operating zone" of 30 % to 60 % export intensity within which the predicted</w:t>
      </w:r>
      <w:r>
        <w:t xml:space="preserve"> </w:t>
      </w:r>
      <m:oMath>
        <m:r>
          <m:rPr>
            <m:sty m:val="p"/>
          </m:rPr>
          <m:t>ln</m:t>
        </m:r>
        <m:d>
          <m:dPr>
            <m:begChr m:val="("/>
            <m:endChr m:val=")"/>
            <m:sepChr m:val=""/>
            <m:grow/>
          </m:dPr>
          <m:e>
            <m:r>
              <m:rPr>
                <m:sty m:val="p"/>
              </m:rPr>
              <m:t>L</m:t>
            </m:r>
            <m:r>
              <m:rPr>
                <m:sty m:val="p"/>
              </m:rPr>
              <m:t>P</m:t>
            </m:r>
          </m:e>
        </m:d>
      </m:oMath>
      <w:r>
        <w:t xml:space="preserve"> </w:t>
      </w:r>
      <w:r>
        <w:t xml:space="preserve">remains close to its peak in both waves. The two curves are nearly parallel in shape but level‑shifted upward in 2024, consistent with general productivity growth between waves while the inverted‑U structure is preserved, i.e., predicted shift is rejected; observed pattern is stability.</w:t>
      </w:r>
    </w:p>
    <w:bookmarkEnd w:id="48"/>
    <w:bookmarkStart w:id="52" w:name="X540966a6630cbcf27b8f42825dab8385bb9df9c"/>
    <w:p>
      <w:pPr>
        <w:pStyle w:val="Heading3"/>
      </w:pPr>
      <w:r>
        <w:t xml:space="preserve">4.4 Capability conditions: H4a, robust level shifts, weak curvature moderation;</w:t>
      </w:r>
      <w:r>
        <w:t xml:space="preserve"> </w:t>
      </w:r>
      <m:oMath>
        <m:sSub>
          <m:e>
            <m:r>
              <m:rPr>
                <m:sty m:val="p"/>
              </m:rPr>
              <m:t>D</m:t>
            </m:r>
            <m:r>
              <m:rPr>
                <m:sty m:val="p"/>
              </m:rPr>
              <m:t>A</m:t>
            </m:r>
            <m:r>
              <m:rPr>
                <m:sty m:val="p"/>
              </m:rPr>
              <m:t>I</m:t>
            </m:r>
          </m:e>
          <m:sub>
            <m:r>
              <m:rPr>
                <m:nor/>
                <m:sty m:val="p"/>
              </m:rPr>
              <m:t>core</m:t>
            </m:r>
          </m:sub>
        </m:sSub>
      </m:oMath>
      <w:r>
        <w:t xml:space="preserve"> </w:t>
      </w:r>
      <w:r>
        <w:t xml:space="preserve">as baseline control</w:t>
      </w:r>
    </w:p>
    <w:p>
      <w:pPr>
        <w:pStyle w:val="FirstParagraph"/>
      </w:pPr>
      <w:r>
        <w:t xml:space="preserve">Technological capability is positively and substantively associated with firm performance in both waves and the pooled sample, supporting the level‑shift component of H4a. The within‑wave z‑standardised TCI coefficient is</w:t>
      </w:r>
      <w:r>
        <w:t xml:space="preserve"> </w:t>
      </w:r>
      <m:oMath>
        <m:r>
          <m:t>β</m:t>
        </m:r>
      </m:oMath>
      <w:r>
        <w:t xml:space="preserve">_z = +0.260 in 2012 (SE = 0.049, p &lt; .001),</w:t>
      </w:r>
      <w:r>
        <w:t xml:space="preserve"> </w:t>
      </w:r>
      <m:oMath>
        <m:r>
          <m:t>β</m:t>
        </m:r>
      </m:oMath>
      <w:r>
        <w:t xml:space="preserve">_z = +0.426 in 2024 (SE = 0.047, p &lt; .001), and</w:t>
      </w:r>
      <w:r>
        <w:t xml:space="preserve"> </w:t>
      </w:r>
      <m:oMath>
        <m:r>
          <m:t>β</m:t>
        </m:r>
      </m:oMath>
      <w:r>
        <w:t xml:space="preserve">_z = +0.380 in the pooled sample (SE = 0.035, p &lt; .001). Each one‑standard‑deviation increase in TCI is therefore associated with a 26–43 % change in labour productivity at the geometric‑mean baseline. The Paternoster z‑test on the cross‑wave change in TCI yields z = −2.55, p = .011, indicating a statistically detectable strengthening of the TCI–productivity association between 2012 and 2024, consistent with the absorptive-capacity logic that capability accumulation has compounded into rising productivity dividends as Chinese exporters faced rising international-competition demands. Digital adoption (</w:t>
      </w:r>
      <m:oMath>
        <m:sSub>
          <m:e>
            <m:r>
              <m:rPr>
                <m:sty m:val="p"/>
              </m:rPr>
              <m:t>D</m:t>
            </m:r>
            <m:r>
              <m:rPr>
                <m:sty m:val="p"/>
              </m:rPr>
              <m:t>A</m:t>
            </m:r>
            <m:r>
              <m:rPr>
                <m:sty m:val="p"/>
              </m:rPr>
              <m:t>I</m:t>
            </m:r>
          </m:e>
          <m:sub>
            <m:r>
              <m:rPr>
                <m:nor/>
                <m:sty m:val="p"/>
              </m:rPr>
              <m:t>core</m:t>
            </m:r>
          </m:sub>
        </m:sSub>
      </m:oMath>
      <w:r>
        <w:t xml:space="preserve">) is also positively associated with productivity, modestly (</w:t>
      </w:r>
      <m:oMath>
        <m:r>
          <m:t>β</m:t>
        </m:r>
      </m:oMath>
      <w:r>
        <w:t xml:space="preserve">_z = +0.05 to +0.13, p</w:t>
      </w:r>
      <w:r>
        <w:t xml:space="preserve"> </w:t>
      </w:r>
      <m:oMath>
        <m:r>
          <m:rPr>
            <m:sty m:val="p"/>
          </m:rPr>
          <m:t>≤</m:t>
        </m:r>
      </m:oMath>
      <w:r>
        <w:t xml:space="preserve"> </w:t>
      </w:r>
      <w:r>
        <w:t xml:space="preserve">.03), consistent with its role as a baseline digital-presence control.</w:t>
      </w:r>
    </w:p>
    <w:p>
      <w:pPr>
        <w:pStyle w:val="BodyText"/>
      </w:pPr>
      <w:r>
        <w:t xml:space="preserve">The curvature‑moderation component of H4a is tested by adding</w:t>
      </w:r>
      <w:r>
        <w:t xml:space="preserve"> </w:t>
      </w:r>
      <m:oMath>
        <m:r>
          <m:rPr>
            <m:nor/>
            <m:sty m:val="p"/>
          </m:rPr>
          <m:t>TCI</m:t>
        </m:r>
        <m:r>
          <m:rPr>
            <m:sty m:val="p"/>
          </m:rPr>
          <m:t>×</m:t>
        </m:r>
        <m:r>
          <m:rPr>
            <m:nor/>
            <m:sty m:val="p"/>
          </m:rPr>
          <m:t>FSTS</m:t>
        </m:r>
      </m:oMath>
      <w:r>
        <w:t xml:space="preserve"> </w:t>
      </w:r>
      <w:r>
        <w:t xml:space="preserve">and TCI</w:t>
      </w:r>
      <m:oMath>
        <m:r>
          <m:rPr>
            <m:sty m:val="p"/>
          </m:rPr>
          <m:t>×</m:t>
        </m:r>
      </m:oMath>
      <m:oMath>
        <m:sSup>
          <m:e>
            <m:r>
              <m:rPr>
                <m:sty m:val="p"/>
              </m:rPr>
              <m:t>F</m:t>
            </m:r>
            <m:r>
              <m:rPr>
                <m:sty m:val="p"/>
              </m:rPr>
              <m:t>S</m:t>
            </m:r>
            <m:r>
              <m:rPr>
                <m:sty m:val="p"/>
              </m:rPr>
              <m:t>T</m:t>
            </m:r>
            <m:r>
              <m:rPr>
                <m:sty m:val="p"/>
              </m:rPr>
              <m:t>S</m:t>
            </m:r>
          </m:e>
          <m:sup>
            <m:r>
              <m:t>2</m:t>
            </m:r>
          </m:sup>
        </m:sSup>
      </m:oMath>
      <w:r>
        <w:t xml:space="preserve"> </w:t>
      </w:r>
      <w:r>
        <w:t xml:space="preserve">interactions to the pooled three‑way moderation specification (Table 3). The joint F‑test on (</w:t>
      </w:r>
      <m:oMath>
        <m:r>
          <m:rPr>
            <m:nor/>
            <m:sty m:val="p"/>
          </m:rPr>
          <m:t>TCI</m:t>
        </m:r>
        <m:r>
          <m:rPr>
            <m:sty m:val="p"/>
          </m:rPr>
          <m:t>×</m:t>
        </m:r>
        <m:r>
          <m:rPr>
            <m:nor/>
            <m:sty m:val="p"/>
          </m:rPr>
          <m:t>FSTS</m:t>
        </m:r>
      </m:oMath>
      <w:r>
        <w:t xml:space="preserve">, TCI</w:t>
      </w:r>
      <m:oMath>
        <m:r>
          <m:rPr>
            <m:sty m:val="p"/>
          </m:rPr>
          <m:t>×</m:t>
        </m:r>
      </m:oMath>
      <m:oMath>
        <m:sSup>
          <m:e>
            <m:r>
              <m:rPr>
                <m:sty m:val="p"/>
              </m:rPr>
              <m:t>F</m:t>
            </m:r>
            <m:r>
              <m:rPr>
                <m:sty m:val="p"/>
              </m:rPr>
              <m:t>S</m:t>
            </m:r>
            <m:r>
              <m:rPr>
                <m:sty m:val="p"/>
              </m:rPr>
              <m:t>T</m:t>
            </m:r>
            <m:r>
              <m:rPr>
                <m:sty m:val="p"/>
              </m:rPr>
              <m:t>S</m:t>
            </m:r>
          </m:e>
          <m:sup>
            <m:r>
              <m:t>2</m:t>
            </m:r>
          </m:sup>
        </m:sSup>
      </m:oMath>
      <w:r>
        <w:t xml:space="preserve">) yields F(2, 3,558) = 3.26, p = .039, but neither individual interaction coefficient is statistically distinguishable from zero (</w:t>
      </w:r>
      <m:oMath>
        <m:r>
          <m:rPr>
            <m:nor/>
            <m:sty m:val="p"/>
          </m:rPr>
          <m:t>TCI</m:t>
        </m:r>
        <m:r>
          <m:rPr>
            <m:sty m:val="p"/>
          </m:rPr>
          <m:t>×</m:t>
        </m:r>
        <m:r>
          <m:rPr>
            <m:nor/>
            <m:sty m:val="p"/>
          </m:rPr>
          <m:t>FSTS</m:t>
        </m:r>
      </m:oMath>
      <w:r>
        <w:t xml:space="preserve"> </w:t>
      </w:r>
      <m:oMath>
        <m:r>
          <m:t>β</m:t>
        </m:r>
      </m:oMath>
      <w:r>
        <w:t xml:space="preserve"> </w:t>
      </w:r>
      <w:r>
        <w:t xml:space="preserve">= −0.41, p = .443; TCI</w:t>
      </w:r>
      <m:oMath>
        <m:r>
          <m:rPr>
            <m:sty m:val="p"/>
          </m:rPr>
          <m:t>×</m:t>
        </m:r>
      </m:oMath>
      <m:oMath>
        <m:sSup>
          <m:e>
            <m:r>
              <m:rPr>
                <m:sty m:val="p"/>
              </m:rPr>
              <m:t>F</m:t>
            </m:r>
            <m:r>
              <m:rPr>
                <m:sty m:val="p"/>
              </m:rPr>
              <m:t>S</m:t>
            </m:r>
            <m:r>
              <m:rPr>
                <m:sty m:val="p"/>
              </m:rPr>
              <m:t>T</m:t>
            </m:r>
            <m:r>
              <m:rPr>
                <m:sty m:val="p"/>
              </m:rPr>
              <m:t>S</m:t>
            </m:r>
          </m:e>
          <m:sup>
            <m:r>
              <m:t>2</m:t>
            </m:r>
          </m:sup>
        </m:sSup>
      </m:oMath>
      <w:r>
        <w:t xml:space="preserve"> </w:t>
      </w:r>
      <m:oMath>
        <m:r>
          <m:t>β</m:t>
        </m:r>
      </m:oMath>
      <w:r>
        <w:t xml:space="preserve"> </w:t>
      </w:r>
      <w:r>
        <w:t xml:space="preserve">= +0.05, p = .934). Wave-by-wave moderator tests (Online Appendix C) show that no individual TCI or DAI interaction coefficient achieves p &lt; .05 in any wave‑specific specification.</w:t>
      </w:r>
      <w:r>
        <w:t xml:space="preserve"> </w:t>
      </w:r>
      <m:oMath>
        <m:r>
          <m:rPr>
            <m:nor/>
            <m:sty m:val="p"/>
          </m:rPr>
          <m:t>DAI</m:t>
        </m:r>
        <m:r>
          <m:rPr>
            <m:sty m:val="p"/>
          </m:rPr>
          <m:t>×</m:t>
        </m:r>
        <m:r>
          <m:rPr>
            <m:nor/>
            <m:sty m:val="p"/>
          </m:rPr>
          <m:t>FSTS</m:t>
        </m:r>
      </m:oMath>
      <w:r>
        <w:t xml:space="preserve"> </w:t>
      </w:r>
      <w:r>
        <w:t xml:space="preserve">interactions are tested for completeness but interpreted descriptively given</w:t>
      </w:r>
      <w:r>
        <w:t xml:space="preserve"> </w:t>
      </w:r>
      <m:oMath>
        <m:sSub>
          <m:e>
            <m:r>
              <m:rPr>
                <m:sty m:val="p"/>
              </m:rPr>
              <m:t>D</m:t>
            </m:r>
            <m:r>
              <m:rPr>
                <m:sty m:val="p"/>
              </m:rPr>
              <m:t>A</m:t>
            </m:r>
            <m:r>
              <m:rPr>
                <m:sty m:val="p"/>
              </m:rPr>
              <m:t>I</m:t>
            </m:r>
          </m:e>
          <m:sub>
            <m:r>
              <m:rPr>
                <m:nor/>
                <m:sty m:val="p"/>
              </m:rPr>
              <m:t>core</m:t>
            </m:r>
          </m:sub>
        </m:sSub>
      </m:oMath>
      <w:r>
        <w:t xml:space="preserve">'s control role. We therefore interpret the curvature‑moderation component of H4a as</w:t>
      </w:r>
      <w:r>
        <w:t xml:space="preserve"> </w:t>
      </w:r>
      <w:r>
        <w:rPr>
          <w:bCs/>
          <w:b/>
        </w:rPr>
        <w:t xml:space="preserve">not robustly supported</w:t>
      </w:r>
      <w:r>
        <w:t xml:space="preserve">: while the joint F‑test hints at some pooled moderation, the individual coefficient pattern and wave‑by‑wave instability suggest that TCI operates primarily as a</w:t>
      </w:r>
      <w:r>
        <w:t xml:space="preserve"> </w:t>
      </w:r>
      <w:r>
        <w:rPr>
          <w:bCs/>
          <w:b/>
        </w:rPr>
        <w:t xml:space="preserve">level‑shifter</w:t>
      </w:r>
      <w:r>
        <w:t xml:space="preserve"> </w:t>
      </w:r>
      <w:r>
        <w:t xml:space="preserve">rather than as a curvature moderator.</w:t>
      </w:r>
    </w:p>
    <w:p>
      <w:pPr>
        <w:pStyle w:val="BodyText"/>
      </w:pPr>
      <w:r>
        <w:t xml:space="preserve">The dynamic moderation hypothesis, that capability‑conditioned curvature shifts evolve over time, is tested via the three‑way joint F‑test on (FSTS</w:t>
      </w:r>
      <m:oMath>
        <m:r>
          <m:rPr>
            <m:sty m:val="p"/>
          </m:rPr>
          <m:t>×</m:t>
        </m:r>
      </m:oMath>
      <m:oMath>
        <m:sSub>
          <m:e>
            <m:r>
              <m:t>D</m:t>
            </m:r>
          </m:e>
          <m:sub>
            <m:r>
              <m:t>2024</m:t>
            </m:r>
          </m:sub>
        </m:sSub>
      </m:oMath>
      <m:oMath>
        <m:r>
          <m:rPr>
            <m:sty m:val="p"/>
          </m:rPr>
          <m:t>×</m:t>
        </m:r>
      </m:oMath>
      <w:r>
        <w:t xml:space="preserve">TCI,</w:t>
      </w:r>
      <w:r>
        <w:t xml:space="preserve"> </w:t>
      </w:r>
      <m:oMath>
        <m:sSup>
          <m:e>
            <m:r>
              <m:rPr>
                <m:sty m:val="p"/>
              </m:rPr>
              <m:t>F</m:t>
            </m:r>
            <m:r>
              <m:rPr>
                <m:sty m:val="p"/>
              </m:rPr>
              <m:t>S</m:t>
            </m:r>
            <m:r>
              <m:rPr>
                <m:sty m:val="p"/>
              </m:rPr>
              <m:t>T</m:t>
            </m:r>
            <m:r>
              <m:rPr>
                <m:sty m:val="p"/>
              </m:rPr>
              <m:t>S</m:t>
            </m:r>
          </m:e>
          <m:sup>
            <m:r>
              <m:t>2</m:t>
            </m:r>
          </m:sup>
        </m:sSup>
      </m:oMath>
      <m:oMath>
        <m:r>
          <m:rPr>
            <m:sty m:val="p"/>
          </m:rPr>
          <m:t>×</m:t>
        </m:r>
      </m:oMath>
      <m:oMath>
        <m:sSub>
          <m:e>
            <m:r>
              <m:t>D</m:t>
            </m:r>
          </m:e>
          <m:sub>
            <m:r>
              <m:t>2024</m:t>
            </m:r>
          </m:sub>
        </m:sSub>
      </m:oMath>
      <m:oMath>
        <m:r>
          <m:rPr>
            <m:sty m:val="p"/>
          </m:rPr>
          <m:t>×</m:t>
        </m:r>
      </m:oMath>
      <w:r>
        <w:t xml:space="preserve">TCI) and yields F(2, 3,558) = 0.27, p = .760, providing</w:t>
      </w:r>
      <w:r>
        <w:t xml:space="preserve"> </w:t>
      </w:r>
      <w:r>
        <w:rPr>
          <w:bCs/>
          <w:b/>
        </w:rPr>
        <w:t xml:space="preserve">no support</w:t>
      </w:r>
      <w:r>
        <w:t xml:space="preserve"> </w:t>
      </w:r>
      <w:r>
        <w:t xml:space="preserve">for capability‑conditioned dynamic moderation.</w:t>
      </w:r>
    </w:p>
    <w:p>
      <w:pPr>
        <w:pStyle w:val="BlockText"/>
      </w:pPr>
      <w:r>
        <w:rPr>
          <w:bCs/>
          <w:b/>
        </w:rPr>
        <w:t xml:space="preserve">Table 3.</w:t>
      </w:r>
      <w:r>
        <w:t xml:space="preserve"> </w:t>
      </w:r>
      <w:r>
        <w:t xml:space="preserve">Three-way moderation specification: pooled estimates and joint F-tests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Coefficient</w:t>
            </w:r>
          </w:p>
        </w:tc>
        <w:tc>
          <w:tcPr/>
          <w:p>
            <w:pPr>
              <w:pStyle w:val="Compact"/>
              <w:jc w:val="left"/>
            </w:pPr>
            <w:r>
              <w:t xml:space="preserve">β (SE)</w:t>
            </w:r>
          </w:p>
        </w:tc>
        <w:tc>
          <w:tcPr/>
          <w:p>
            <w:pPr>
              <w:pStyle w:val="Compact"/>
              <w:jc w:val="left"/>
            </w:pPr>
            <w:r>
              <w:t xml:space="preserve">p-value</w:t>
            </w:r>
          </w:p>
        </w:tc>
        <w:tc>
          <w:tcPr/>
          <w:p>
            <w:pPr>
              <w:pStyle w:val="Compact"/>
              <w:jc w:val="left"/>
            </w:pPr>
            <w:r>
              <w:t xml:space="preserve">Significance</w:t>
            </w:r>
          </w:p>
        </w:tc>
      </w:tr>
      <w:tr>
        <w:tc>
          <w:tcPr/>
          <w:p>
            <w:pPr>
              <w:pStyle w:val="Compact"/>
              <w:jc w:val="left"/>
            </w:pPr>
            <w:r>
              <w:t xml:space="preserve">FSTS</w:t>
            </w:r>
          </w:p>
        </w:tc>
        <w:tc>
          <w:tcPr/>
          <w:p>
            <w:pPr>
              <w:pStyle w:val="Compact"/>
              <w:jc w:val="left"/>
            </w:pPr>
            <w:r>
              <w:t xml:space="preserve">+1.379 (0.401)</w:t>
            </w:r>
          </w:p>
        </w:tc>
        <w:tc>
          <w:tcPr/>
          <w:p>
            <w:pPr>
              <w:pStyle w:val="Compact"/>
              <w:jc w:val="left"/>
            </w:pPr>
            <w:r>
              <w:t xml:space="preserve">.001</w:t>
            </w:r>
          </w:p>
        </w:tc>
        <w:tc>
          <w:tcPr/>
          <w:p>
            <w:pPr>
              <w:pStyle w:val="Compact"/>
              <w:jc w:val="left"/>
            </w:pPr>
            <w:r>
              <w:t xml:space="preserve">***</w:t>
            </w:r>
          </w:p>
        </w:tc>
      </w:tr>
      <w:tr>
        <w:tc>
          <w:tcPr/>
          <w:p>
            <w:pPr>
              <w:pStyle w:val="Compact"/>
              <w:jc w:val="left"/>
            </w:pPr>
            <m:oMath>
              <m:sSup>
                <m:e>
                  <m:r>
                    <m:rPr>
                      <m:sty m:val="p"/>
                    </m:rPr>
                    <m:t>F</m:t>
                  </m:r>
                  <m:r>
                    <m:rPr>
                      <m:sty m:val="p"/>
                    </m:rPr>
                    <m:t>S</m:t>
                  </m:r>
                  <m:r>
                    <m:rPr>
                      <m:sty m:val="p"/>
                    </m:rPr>
                    <m:t>T</m:t>
                  </m:r>
                  <m:r>
                    <m:rPr>
                      <m:sty m:val="p"/>
                    </m:rPr>
                    <m:t>S</m:t>
                  </m:r>
                </m:e>
                <m:sup>
                  <m:r>
                    <m:t>2</m:t>
                  </m:r>
                </m:sup>
              </m:sSup>
            </m:oMath>
          </w:p>
        </w:tc>
        <w:tc>
          <w:tcPr/>
          <w:p>
            <w:pPr>
              <w:pStyle w:val="Compact"/>
              <w:jc w:val="left"/>
            </w:pPr>
            <w:r>
              <w:t xml:space="preserve">−1.721 (0.440)</w:t>
            </w:r>
          </w:p>
        </w:tc>
        <w:tc>
          <w:tcPr/>
          <w:p>
            <w:pPr>
              <w:pStyle w:val="Compact"/>
              <w:jc w:val="left"/>
            </w:pPr>
            <w:r>
              <w:t xml:space="preserve">&lt; .001</w:t>
            </w:r>
          </w:p>
        </w:tc>
        <w:tc>
          <w:tcPr/>
          <w:p>
            <w:pPr>
              <w:pStyle w:val="Compact"/>
              <w:jc w:val="left"/>
            </w:pPr>
            <w:r>
              <w:t xml:space="preserve">***</w:t>
            </w:r>
          </w:p>
        </w:tc>
      </w:tr>
      <w:tr>
        <w:tc>
          <w:tcPr/>
          <w:p>
            <w:pPr>
              <w:pStyle w:val="Compact"/>
              <w:jc w:val="left"/>
            </w:pPr>
            <m:oMath>
              <m:sSub>
                <m:e>
                  <m:r>
                    <m:t>D</m:t>
                  </m:r>
                </m:e>
                <m:sub>
                  <m:r>
                    <m:t>2024</m:t>
                  </m:r>
                </m:sub>
              </m:sSub>
            </m:oMath>
          </w:p>
        </w:tc>
        <w:tc>
          <w:tcPr/>
          <w:p>
            <w:pPr>
              <w:pStyle w:val="Compact"/>
              <w:jc w:val="left"/>
            </w:pPr>
            <w:r>
              <w:t xml:space="preserve">+0.542 (0.045)</w:t>
            </w:r>
          </w:p>
        </w:tc>
        <w:tc>
          <w:tcPr/>
          <w:p>
            <w:pPr>
              <w:pStyle w:val="Compact"/>
              <w:jc w:val="left"/>
            </w:pPr>
            <w:r>
              <w:t xml:space="preserve">&lt; .001</w:t>
            </w:r>
          </w:p>
        </w:tc>
        <w:tc>
          <w:tcPr/>
          <w:p>
            <w:pPr>
              <w:pStyle w:val="Compact"/>
              <w:jc w:val="left"/>
            </w:pPr>
            <w:r>
              <w:t xml:space="preserve">***</w:t>
            </w:r>
          </w:p>
        </w:tc>
      </w:tr>
      <w:tr>
        <w:tc>
          <w:tcPr/>
          <w:p>
            <w:pPr>
              <w:pStyle w:val="Compact"/>
              <w:jc w:val="left"/>
            </w:pPr>
            <w:r>
              <w:t xml:space="preserve">FSTS ×</w:t>
            </w:r>
            <w:r>
              <w:t xml:space="preserve"> </w:t>
            </w:r>
            <m:oMath>
              <m:sSub>
                <m:e>
                  <m:r>
                    <m:t>D</m:t>
                  </m:r>
                </m:e>
                <m:sub>
                  <m:r>
                    <m:t>2024</m:t>
                  </m:r>
                </m:sub>
              </m:sSub>
            </m:oMath>
          </w:p>
        </w:tc>
        <w:tc>
          <w:tcPr/>
          <w:p>
            <w:pPr>
              <w:pStyle w:val="Compact"/>
              <w:jc w:val="left"/>
            </w:pPr>
            <w:r>
              <w:t xml:space="preserve">+0.678 (0.876)</w:t>
            </w:r>
          </w:p>
        </w:tc>
        <w:tc>
          <w:tcPr/>
          <w:p>
            <w:pPr>
              <w:pStyle w:val="Compact"/>
              <w:jc w:val="left"/>
            </w:pPr>
            <w:r>
              <w:t xml:space="preserve">.439</w:t>
            </w:r>
          </w:p>
        </w:tc>
        <w:tc>
          <w:tcPr/>
          <w:p>
            <w:pPr>
              <w:pStyle w:val="Compact"/>
            </w:pPr>
          </w:p>
        </w:tc>
      </w:tr>
      <w:tr>
        <w:tc>
          <w:tcPr/>
          <w:p>
            <w:pPr>
              <w:pStyle w:val="Compact"/>
              <w:jc w:val="left"/>
            </w:pPr>
            <m:oMath>
              <m:sSup>
                <m:e>
                  <m:r>
                    <m:rPr>
                      <m:sty m:val="p"/>
                    </m:rPr>
                    <m:t>F</m:t>
                  </m:r>
                  <m:r>
                    <m:rPr>
                      <m:sty m:val="p"/>
                    </m:rPr>
                    <m:t>S</m:t>
                  </m:r>
                  <m:r>
                    <m:rPr>
                      <m:sty m:val="p"/>
                    </m:rPr>
                    <m:t>T</m:t>
                  </m:r>
                  <m:r>
                    <m:rPr>
                      <m:sty m:val="p"/>
                    </m:rPr>
                    <m:t>S</m:t>
                  </m:r>
                </m:e>
                <m:sup>
                  <m:r>
                    <m:t>2</m:t>
                  </m:r>
                </m:sup>
              </m:sSup>
            </m:oMath>
            <w:r>
              <w:t xml:space="preserve"> </w:t>
            </w:r>
            <m:oMath>
              <m:r>
                <m:rPr>
                  <m:sty m:val="p"/>
                </m:rPr>
                <m:t>×</m:t>
              </m:r>
            </m:oMath>
            <w:r>
              <w:t xml:space="preserve"> </w:t>
            </w:r>
            <m:oMath>
              <m:sSub>
                <m:e>
                  <m:r>
                    <m:t>D</m:t>
                  </m:r>
                </m:e>
                <m:sub>
                  <m:r>
                    <m:t>2024</m:t>
                  </m:r>
                </m:sub>
              </m:sSub>
            </m:oMath>
          </w:p>
        </w:tc>
        <w:tc>
          <w:tcPr/>
          <w:p>
            <w:pPr>
              <w:pStyle w:val="Compact"/>
              <w:jc w:val="left"/>
            </w:pPr>
            <w:r>
              <w:t xml:space="preserve">−0.290 (0.975)</w:t>
            </w:r>
          </w:p>
        </w:tc>
        <w:tc>
          <w:tcPr/>
          <w:p>
            <w:pPr>
              <w:pStyle w:val="Compact"/>
              <w:jc w:val="left"/>
            </w:pPr>
            <w:r>
              <w:t xml:space="preserve">.766</w:t>
            </w:r>
          </w:p>
        </w:tc>
        <w:tc>
          <w:tcPr/>
          <w:p>
            <w:pPr>
              <w:pStyle w:val="Compact"/>
            </w:pPr>
          </w:p>
        </w:tc>
      </w:tr>
      <w:tr>
        <w:tc>
          <w:tcPr/>
          <w:p>
            <w:pPr>
              <w:pStyle w:val="Compact"/>
              <w:jc w:val="left"/>
            </w:pPr>
            <w:r>
              <w:t xml:space="preserve">Tech (</w:t>
            </w:r>
            <m:oMath>
              <m:sSub>
                <m:e>
                  <m:r>
                    <m:rPr>
                      <m:sty m:val="p"/>
                    </m:rPr>
                    <m:t>T</m:t>
                  </m:r>
                  <m:r>
                    <m:rPr>
                      <m:sty m:val="p"/>
                    </m:rPr>
                    <m:t>C</m:t>
                  </m:r>
                  <m:r>
                    <m:rPr>
                      <m:sty m:val="p"/>
                    </m:rPr>
                    <m:t>I</m:t>
                  </m:r>
                </m:e>
                <m:sub>
                  <m:r>
                    <m:rPr>
                      <m:nor/>
                      <m:sty m:val="p"/>
                    </m:rPr>
                    <m:t>full</m:t>
                  </m:r>
                </m:sub>
              </m:sSub>
            </m:oMath>
            <w:r>
              <w:t xml:space="preserve">)</w:t>
            </w:r>
          </w:p>
        </w:tc>
        <w:tc>
          <w:tcPr/>
          <w:p>
            <w:pPr>
              <w:pStyle w:val="Compact"/>
              <w:jc w:val="left"/>
            </w:pPr>
            <w:r>
              <w:t xml:space="preserve">+0.380 (0.035)</w:t>
            </w:r>
          </w:p>
        </w:tc>
        <w:tc>
          <w:tcPr/>
          <w:p>
            <w:pPr>
              <w:pStyle w:val="Compact"/>
              <w:jc w:val="left"/>
            </w:pPr>
            <w:r>
              <w:t xml:space="preserve">&lt; .001</w:t>
            </w:r>
          </w:p>
        </w:tc>
        <w:tc>
          <w:tcPr/>
          <w:p>
            <w:pPr>
              <w:pStyle w:val="Compact"/>
              <w:jc w:val="left"/>
            </w:pPr>
            <w:r>
              <w:t xml:space="preserve">***</w:t>
            </w:r>
          </w:p>
        </w:tc>
      </w:tr>
      <w:tr>
        <w:tc>
          <w:tcPr/>
          <w:p>
            <w:pPr>
              <w:pStyle w:val="Compact"/>
              <w:jc w:val="left"/>
            </w:pPr>
            <w:r>
              <w:t xml:space="preserve">FSTS × Tech</w:t>
            </w:r>
          </w:p>
        </w:tc>
        <w:tc>
          <w:tcPr/>
          <w:p>
            <w:pPr>
              <w:pStyle w:val="Compact"/>
              <w:jc w:val="left"/>
            </w:pPr>
            <w:r>
              <w:t xml:space="preserve">−0.414 (0.539)</w:t>
            </w:r>
          </w:p>
        </w:tc>
        <w:tc>
          <w:tcPr/>
          <w:p>
            <w:pPr>
              <w:pStyle w:val="Compact"/>
              <w:jc w:val="left"/>
            </w:pPr>
            <w:r>
              <w:t xml:space="preserve">.443</w:t>
            </w:r>
          </w:p>
        </w:tc>
        <w:tc>
          <w:tcPr/>
          <w:p>
            <w:pPr>
              <w:pStyle w:val="Compact"/>
            </w:pPr>
          </w:p>
        </w:tc>
      </w:tr>
      <w:tr>
        <w:tc>
          <w:tcPr/>
          <w:p>
            <w:pPr>
              <w:pStyle w:val="Compact"/>
              <w:jc w:val="left"/>
            </w:pPr>
            <m:oMath>
              <m:sSup>
                <m:e>
                  <m:r>
                    <m:rPr>
                      <m:sty m:val="p"/>
                    </m:rPr>
                    <m:t>F</m:t>
                  </m:r>
                  <m:r>
                    <m:rPr>
                      <m:sty m:val="p"/>
                    </m:rPr>
                    <m:t>S</m:t>
                  </m:r>
                  <m:r>
                    <m:rPr>
                      <m:sty m:val="p"/>
                    </m:rPr>
                    <m:t>T</m:t>
                  </m:r>
                  <m:r>
                    <m:rPr>
                      <m:sty m:val="p"/>
                    </m:rPr>
                    <m:t>S</m:t>
                  </m:r>
                </m:e>
                <m:sup>
                  <m:r>
                    <m:t>2</m:t>
                  </m:r>
                </m:sup>
              </m:sSup>
            </m:oMath>
            <w:r>
              <w:t xml:space="preserve"> </w:t>
            </w:r>
            <m:oMath>
              <m:r>
                <m:rPr>
                  <m:sty m:val="p"/>
                </m:rPr>
                <m:t>×</m:t>
              </m:r>
            </m:oMath>
            <w:r>
              <w:t xml:space="preserve"> </w:t>
            </w:r>
            <w:r>
              <w:t xml:space="preserve">Tech</w:t>
            </w:r>
          </w:p>
        </w:tc>
        <w:tc>
          <w:tcPr/>
          <w:p>
            <w:pPr>
              <w:pStyle w:val="Compact"/>
              <w:jc w:val="left"/>
            </w:pPr>
            <w:r>
              <w:t xml:space="preserve">+0.051 (0.615)</w:t>
            </w:r>
          </w:p>
        </w:tc>
        <w:tc>
          <w:tcPr/>
          <w:p>
            <w:pPr>
              <w:pStyle w:val="Compact"/>
              <w:jc w:val="left"/>
            </w:pPr>
            <w:r>
              <w:t xml:space="preserve">.934</w:t>
            </w:r>
          </w:p>
        </w:tc>
        <w:tc>
          <w:tcPr/>
          <w:p>
            <w:pPr>
              <w:pStyle w:val="Compact"/>
            </w:pPr>
          </w:p>
        </w:tc>
      </w:tr>
      <w:tr>
        <w:tc>
          <w:tcPr/>
          <w:p>
            <w:pPr>
              <w:pStyle w:val="Compact"/>
              <w:jc w:val="left"/>
            </w:pPr>
            <w:r>
              <w:t xml:space="preserve">FSTS ×</w:t>
            </w:r>
            <w:r>
              <w:t xml:space="preserve"> </w:t>
            </w:r>
            <m:oMath>
              <m:sSub>
                <m:e>
                  <m:r>
                    <m:t>D</m:t>
                  </m:r>
                </m:e>
                <m:sub>
                  <m:r>
                    <m:t>2024</m:t>
                  </m:r>
                </m:sub>
              </m:sSub>
            </m:oMath>
            <w:r>
              <w:t xml:space="preserve"> </w:t>
            </w:r>
            <m:oMath>
              <m:r>
                <m:rPr>
                  <m:sty m:val="p"/>
                </m:rPr>
                <m:t>×</m:t>
              </m:r>
            </m:oMath>
            <w:r>
              <w:t xml:space="preserve"> </w:t>
            </w:r>
            <w:r>
              <w:t xml:space="preserve">Tech</w:t>
            </w:r>
          </w:p>
        </w:tc>
        <w:tc>
          <w:tcPr/>
          <w:p>
            <w:pPr>
              <w:pStyle w:val="Compact"/>
              <w:jc w:val="left"/>
            </w:pPr>
            <w:r>
              <w:t xml:space="preserve">−0.376 (0.898)</w:t>
            </w:r>
          </w:p>
        </w:tc>
        <w:tc>
          <w:tcPr/>
          <w:p>
            <w:pPr>
              <w:pStyle w:val="Compact"/>
              <w:jc w:val="left"/>
            </w:pPr>
            <w:r>
              <w:t xml:space="preserve">.675</w:t>
            </w:r>
          </w:p>
        </w:tc>
        <w:tc>
          <w:tcPr/>
          <w:p>
            <w:pPr>
              <w:pStyle w:val="Compact"/>
            </w:pPr>
          </w:p>
        </w:tc>
      </w:tr>
      <w:tr>
        <w:tc>
          <w:tcPr/>
          <w:p>
            <w:pPr>
              <w:pStyle w:val="Compact"/>
              <w:jc w:val="left"/>
            </w:pPr>
            <m:oMath>
              <m:sSup>
                <m:e>
                  <m:r>
                    <m:rPr>
                      <m:sty m:val="p"/>
                    </m:rPr>
                    <m:t>F</m:t>
                  </m:r>
                  <m:r>
                    <m:rPr>
                      <m:sty m:val="p"/>
                    </m:rPr>
                    <m:t>S</m:t>
                  </m:r>
                  <m:r>
                    <m:rPr>
                      <m:sty m:val="p"/>
                    </m:rPr>
                    <m:t>T</m:t>
                  </m:r>
                  <m:r>
                    <m:rPr>
                      <m:sty m:val="p"/>
                    </m:rPr>
                    <m:t>S</m:t>
                  </m:r>
                </m:e>
                <m:sup>
                  <m:r>
                    <m:t>2</m:t>
                  </m:r>
                </m:sup>
              </m:sSup>
            </m:oMath>
            <w:r>
              <w:t xml:space="preserve"> </w:t>
            </w:r>
            <m:oMath>
              <m:r>
                <m:rPr>
                  <m:sty m:val="p"/>
                </m:rPr>
                <m:t>×</m:t>
              </m:r>
            </m:oMath>
            <w:r>
              <w:t xml:space="preserve"> </w:t>
            </w:r>
            <m:oMath>
              <m:sSub>
                <m:e>
                  <m:r>
                    <m:t>D</m:t>
                  </m:r>
                </m:e>
                <m:sub>
                  <m:r>
                    <m:t>2024</m:t>
                  </m:r>
                </m:sub>
              </m:sSub>
            </m:oMath>
            <w:r>
              <w:t xml:space="preserve"> </w:t>
            </w:r>
            <m:oMath>
              <m:r>
                <m:rPr>
                  <m:sty m:val="p"/>
                </m:rPr>
                <m:t>×</m:t>
              </m:r>
            </m:oMath>
            <w:r>
              <w:t xml:space="preserve"> </w:t>
            </w:r>
            <w:r>
              <w:t xml:space="preserve">Tech</w:t>
            </w:r>
          </w:p>
        </w:tc>
        <w:tc>
          <w:tcPr/>
          <w:p>
            <w:pPr>
              <w:pStyle w:val="Compact"/>
              <w:jc w:val="left"/>
            </w:pPr>
            <w:r>
              <w:t xml:space="preserve">+0.249 (1.076)</w:t>
            </w:r>
          </w:p>
        </w:tc>
        <w:tc>
          <w:tcPr/>
          <w:p>
            <w:pPr>
              <w:pStyle w:val="Compact"/>
              <w:jc w:val="left"/>
            </w:pPr>
            <w:r>
              <w:t xml:space="preserve">.817</w:t>
            </w:r>
          </w:p>
        </w:tc>
        <w:tc>
          <w:tcPr/>
          <w:p>
            <w:pPr>
              <w:pStyle w:val="Compact"/>
            </w:pPr>
          </w:p>
        </w:tc>
      </w:tr>
      <w:tr>
        <w:tc>
          <w:tcPr/>
          <w:p>
            <w:pPr>
              <w:pStyle w:val="Compact"/>
              <w:jc w:val="left"/>
            </w:pPr>
            <w:r>
              <w:rPr>
                <w:bCs/>
                <w:b/>
              </w:rPr>
              <w:t xml:space="preserve">Joint F-tests</w:t>
            </w:r>
          </w:p>
        </w:tc>
        <w:tc>
          <w:tcPr/>
          <w:p>
            <w:pPr>
              <w:pStyle w:val="Compact"/>
            </w:pPr>
          </w:p>
        </w:tc>
        <w:tc>
          <w:tcPr/>
          <w:p>
            <w:pPr>
              <w:pStyle w:val="Compact"/>
            </w:pPr>
          </w:p>
        </w:tc>
        <w:tc>
          <w:tcPr/>
          <w:p>
            <w:pPr>
              <w:pStyle w:val="Compact"/>
            </w:pPr>
          </w:p>
        </w:tc>
      </w:tr>
      <w:tr>
        <w:tc>
          <w:tcPr/>
          <w:p>
            <w:pPr>
              <w:pStyle w:val="Compact"/>
              <w:jc w:val="left"/>
            </w:pPr>
            <w:r>
              <w:t xml:space="preserve">F1: (FSTS ×</w:t>
            </w:r>
            <w:r>
              <w:t xml:space="preserve"> </w:t>
            </w:r>
            <m:oMath>
              <m:sSub>
                <m:e>
                  <m:r>
                    <m:t>D</m:t>
                  </m:r>
                </m:e>
                <m:sub>
                  <m:r>
                    <m:t>2024</m:t>
                  </m:r>
                </m:sub>
              </m:sSub>
            </m:oMath>
            <w:r>
              <w:t xml:space="preserve">,</w:t>
            </w:r>
            <w:r>
              <w:t xml:space="preserve"> </w:t>
            </w:r>
            <m:oMath>
              <m:sSup>
                <m:e>
                  <m:r>
                    <m:rPr>
                      <m:sty m:val="p"/>
                    </m:rPr>
                    <m:t>F</m:t>
                  </m:r>
                  <m:r>
                    <m:rPr>
                      <m:sty m:val="p"/>
                    </m:rPr>
                    <m:t>S</m:t>
                  </m:r>
                  <m:r>
                    <m:rPr>
                      <m:sty m:val="p"/>
                    </m:rPr>
                    <m:t>T</m:t>
                  </m:r>
                  <m:r>
                    <m:rPr>
                      <m:sty m:val="p"/>
                    </m:rPr>
                    <m:t>S</m:t>
                  </m:r>
                </m:e>
                <m:sup>
                  <m:r>
                    <m:t>2</m:t>
                  </m:r>
                </m:sup>
              </m:sSup>
            </m:oMath>
            <w:r>
              <w:t xml:space="preserve"> </w:t>
            </w:r>
            <m:oMath>
              <m:r>
                <m:rPr>
                  <m:sty m:val="p"/>
                </m:rPr>
                <m:t>×</m:t>
              </m:r>
            </m:oMath>
            <w:r>
              <w:t xml:space="preserve"> </w:t>
            </w:r>
            <m:oMath>
              <m:sSub>
                <m:e>
                  <m:r>
                    <m:t>D</m:t>
                  </m:r>
                </m:e>
                <m:sub>
                  <m:r>
                    <m:t>2024</m:t>
                  </m:r>
                </m:sub>
              </m:sSub>
            </m:oMath>
            <w:r>
              <w:t xml:space="preserve">) = 0</w:t>
            </w:r>
          </w:p>
        </w:tc>
        <w:tc>
          <w:tcPr/>
          <w:p>
            <w:pPr>
              <w:pStyle w:val="Compact"/>
              <w:jc w:val="left"/>
            </w:pPr>
            <w:r>
              <w:t xml:space="preserve">F(2, 3,558) = 2.24</w:t>
            </w:r>
          </w:p>
        </w:tc>
        <w:tc>
          <w:tcPr/>
          <w:p>
            <w:pPr>
              <w:pStyle w:val="Compact"/>
              <w:jc w:val="left"/>
            </w:pPr>
            <w:r>
              <w:rPr>
                <w:bCs/>
                <w:b/>
              </w:rPr>
              <w:t xml:space="preserve">.107</w:t>
            </w:r>
          </w:p>
        </w:tc>
        <w:tc>
          <w:tcPr/>
          <w:p>
            <w:pPr>
              <w:pStyle w:val="Compact"/>
              <w:jc w:val="left"/>
            </w:pPr>
            <w:r>
              <w:t xml:space="preserve">NOT rejected</w:t>
            </w:r>
          </w:p>
        </w:tc>
      </w:tr>
      <w:tr>
        <w:tc>
          <w:tcPr/>
          <w:p>
            <w:pPr>
              <w:pStyle w:val="Compact"/>
              <w:jc w:val="left"/>
            </w:pPr>
            <w:r>
              <w:t xml:space="preserve">F2: (FSTS × Tech,</w:t>
            </w:r>
            <w:r>
              <w:t xml:space="preserve"> </w:t>
            </w:r>
            <m:oMath>
              <m:sSup>
                <m:e>
                  <m:r>
                    <m:rPr>
                      <m:sty m:val="p"/>
                    </m:rPr>
                    <m:t>F</m:t>
                  </m:r>
                  <m:r>
                    <m:rPr>
                      <m:sty m:val="p"/>
                    </m:rPr>
                    <m:t>S</m:t>
                  </m:r>
                  <m:r>
                    <m:rPr>
                      <m:sty m:val="p"/>
                    </m:rPr>
                    <m:t>T</m:t>
                  </m:r>
                  <m:r>
                    <m:rPr>
                      <m:sty m:val="p"/>
                    </m:rPr>
                    <m:t>S</m:t>
                  </m:r>
                </m:e>
                <m:sup>
                  <m:r>
                    <m:t>2</m:t>
                  </m:r>
                </m:sup>
              </m:sSup>
            </m:oMath>
            <w:r>
              <w:t xml:space="preserve"> </w:t>
            </w:r>
            <m:oMath>
              <m:r>
                <m:rPr>
                  <m:sty m:val="p"/>
                </m:rPr>
                <m:t>×</m:t>
              </m:r>
            </m:oMath>
            <w:r>
              <w:t xml:space="preserve"> </w:t>
            </w:r>
            <w:r>
              <w:t xml:space="preserve">Tech) = 0</w:t>
            </w:r>
          </w:p>
        </w:tc>
        <w:tc>
          <w:tcPr/>
          <w:p>
            <w:pPr>
              <w:pStyle w:val="Compact"/>
              <w:jc w:val="left"/>
            </w:pPr>
            <w:r>
              <w:t xml:space="preserve">F(2, 3,558) = 3.26</w:t>
            </w:r>
          </w:p>
        </w:tc>
        <w:tc>
          <w:tcPr/>
          <w:p>
            <w:pPr>
              <w:pStyle w:val="Compact"/>
              <w:jc w:val="left"/>
            </w:pPr>
            <w:r>
              <w:rPr>
                <w:bCs/>
                <w:b/>
              </w:rPr>
              <w:t xml:space="preserve">.039</w:t>
            </w:r>
          </w:p>
        </w:tc>
        <w:tc>
          <w:tcPr/>
          <w:p>
            <w:pPr>
              <w:pStyle w:val="Compact"/>
              <w:jc w:val="left"/>
            </w:pPr>
            <w:r>
              <w:t xml:space="preserve">marginal</w:t>
            </w:r>
          </w:p>
        </w:tc>
      </w:tr>
      <w:tr>
        <w:tc>
          <w:tcPr/>
          <w:p>
            <w:pPr>
              <w:pStyle w:val="Compact"/>
              <w:jc w:val="left"/>
            </w:pPr>
            <w:r>
              <w:t xml:space="preserve">F3: (FSTS ×</w:t>
            </w:r>
            <w:r>
              <w:t xml:space="preserve"> </w:t>
            </w:r>
            <m:oMath>
              <m:sSub>
                <m:e>
                  <m:r>
                    <m:t>D</m:t>
                  </m:r>
                </m:e>
                <m:sub>
                  <m:r>
                    <m:t>2024</m:t>
                  </m:r>
                </m:sub>
              </m:sSub>
            </m:oMath>
            <w:r>
              <w:t xml:space="preserve"> </w:t>
            </w:r>
            <m:oMath>
              <m:r>
                <m:rPr>
                  <m:sty m:val="p"/>
                </m:rPr>
                <m:t>×</m:t>
              </m:r>
            </m:oMath>
            <w:r>
              <w:t xml:space="preserve"> </w:t>
            </w:r>
            <w:r>
              <w:t xml:space="preserve">Tech,</w:t>
            </w:r>
            <w:r>
              <w:t xml:space="preserve"> </w:t>
            </w:r>
            <m:oMath>
              <m:sSup>
                <m:e>
                  <m:r>
                    <m:rPr>
                      <m:sty m:val="p"/>
                    </m:rPr>
                    <m:t>F</m:t>
                  </m:r>
                  <m:r>
                    <m:rPr>
                      <m:sty m:val="p"/>
                    </m:rPr>
                    <m:t>S</m:t>
                  </m:r>
                  <m:r>
                    <m:rPr>
                      <m:sty m:val="p"/>
                    </m:rPr>
                    <m:t>T</m:t>
                  </m:r>
                  <m:r>
                    <m:rPr>
                      <m:sty m:val="p"/>
                    </m:rPr>
                    <m:t>S</m:t>
                  </m:r>
                </m:e>
                <m:sup>
                  <m:r>
                    <m:t>2</m:t>
                  </m:r>
                </m:sup>
              </m:sSup>
            </m:oMath>
            <w:r>
              <w:t xml:space="preserve"> </w:t>
            </w:r>
            <m:oMath>
              <m:r>
                <m:rPr>
                  <m:sty m:val="p"/>
                </m:rPr>
                <m:t>×</m:t>
              </m:r>
            </m:oMath>
            <w:r>
              <w:t xml:space="preserve"> </w:t>
            </w:r>
            <m:oMath>
              <m:sSub>
                <m:e>
                  <m:r>
                    <m:t>D</m:t>
                  </m:r>
                </m:e>
                <m:sub>
                  <m:r>
                    <m:t>2024</m:t>
                  </m:r>
                </m:sub>
              </m:sSub>
            </m:oMath>
            <w:r>
              <w:t xml:space="preserve"> </w:t>
            </w:r>
            <m:oMath>
              <m:r>
                <m:rPr>
                  <m:sty m:val="p"/>
                </m:rPr>
                <m:t>×</m:t>
              </m:r>
            </m:oMath>
            <w:r>
              <w:t xml:space="preserve"> </w:t>
            </w:r>
            <w:r>
              <w:t xml:space="preserve">Tech) = 0</w:t>
            </w:r>
          </w:p>
        </w:tc>
        <w:tc>
          <w:tcPr/>
          <w:p>
            <w:pPr>
              <w:pStyle w:val="Compact"/>
              <w:jc w:val="left"/>
            </w:pPr>
            <w:r>
              <w:t xml:space="preserve">F(2, 3,558) = 0.27</w:t>
            </w:r>
          </w:p>
        </w:tc>
        <w:tc>
          <w:tcPr/>
          <w:p>
            <w:pPr>
              <w:pStyle w:val="Compact"/>
              <w:jc w:val="left"/>
            </w:pPr>
            <w:r>
              <w:rPr>
                <w:bCs/>
                <w:b/>
              </w:rPr>
              <w:t xml:space="preserve">.760</w:t>
            </w:r>
          </w:p>
        </w:tc>
        <w:tc>
          <w:tcPr/>
          <w:p>
            <w:pPr>
              <w:pStyle w:val="Compact"/>
              <w:jc w:val="left"/>
            </w:pPr>
            <w:r>
              <w:t xml:space="preserve">NOT rejected</w:t>
            </w:r>
          </w:p>
        </w:tc>
      </w:tr>
    </w:tbl>
    <w:p>
      <w:pPr>
        <w:pStyle w:val="BodyText"/>
      </w:pPr>
      <w:r>
        <w:t xml:space="preserve">N = 3,559 (sample_full). Cluster-robust SE on idstd. Controls (</w:t>
      </w:r>
      <m:oMath>
        <m:r>
          <m:rPr>
            <m:sty m:val="p"/>
          </m:rPr>
          <m:t>ln</m:t>
        </m:r>
        <m:d>
          <m:dPr>
            <m:begChr m:val="("/>
            <m:endChr m:val=")"/>
            <m:sepChr m:val=""/>
            <m:grow/>
          </m:dPr>
          <m:e>
            <m:r>
              <m:rPr>
                <m:sty m:val="p"/>
              </m:rPr>
              <m:t>E</m:t>
            </m:r>
            <m:r>
              <m:rPr>
                <m:sty m:val="p"/>
              </m:rPr>
              <m:t>m</m:t>
            </m:r>
            <m:r>
              <m:rPr>
                <m:sty m:val="p"/>
              </m:rPr>
              <m:t>p</m:t>
            </m:r>
          </m:e>
        </m:d>
      </m:oMath>
      <w:r>
        <w:t xml:space="preserve">, firmage, foreigndummy) included.</w:t>
      </w:r>
      <w:r>
        <w:t xml:space="preserve"> </w:t>
      </w:r>
      <w:r>
        <w:t xml:space="preserve">F1 corresponds to H2a vs H2b (cross-wave shift vs structural durability); F2 to H4a cross-sectional curvature moderation; F3 to capability-conditioned dynamic moderation.</w:t>
      </w:r>
    </w:p>
    <w:p>
      <w:pPr>
        <w:pStyle w:val="BodyText"/>
      </w:pPr>
      <w:r>
        <w:drawing>
          <wp:inline>
            <wp:extent cx="5753100" cy="2591800"/>
            <wp:effectExtent b="0" l="0" r="0" t="0"/>
            <wp:docPr descr="Figure 4: TCI and DAI direct-effect coefficients by wave (China, standardised OLS)" title="" id="50" name="Picture"/>
            <a:graphic>
              <a:graphicData uri="http://schemas.openxmlformats.org/drawingml/2006/picture">
                <pic:pic>
                  <pic:nvPicPr>
                    <pic:cNvPr descr="figures/p5_china/figure_4_level_shifts.png" id="51" name="Picture"/>
                    <pic:cNvPicPr>
                      <a:picLocks noChangeArrowheads="1" noChangeAspect="1"/>
                    </pic:cNvPicPr>
                  </pic:nvPicPr>
                  <pic:blipFill>
                    <a:blip r:embed="rId49"/>
                    <a:stretch>
                      <a:fillRect/>
                    </a:stretch>
                  </pic:blipFill>
                  <pic:spPr bwMode="auto">
                    <a:xfrm>
                      <a:off x="0" y="0"/>
                      <a:ext cx="5753100" cy="2591800"/>
                    </a:xfrm>
                    <a:prstGeom prst="rect">
                      <a:avLst/>
                    </a:prstGeom>
                    <a:noFill/>
                    <a:ln w="9525">
                      <a:noFill/>
                      <a:headEnd/>
                      <a:tailEnd/>
                    </a:ln>
                  </pic:spPr>
                </pic:pic>
              </a:graphicData>
            </a:graphic>
          </wp:inline>
        </w:drawing>
      </w:r>
    </w:p>
    <w:p>
      <w:pPr>
        <w:pStyle w:val="BlockText"/>
      </w:pPr>
      <w:r>
        <w:rPr>
          <w:bCs/>
          <w:b/>
        </w:rPr>
        <w:t xml:space="preserve">Figure 4.</w:t>
      </w:r>
      <w:r>
        <w:t xml:space="preserve"> </w:t>
      </w:r>
      <w:r>
        <w:t xml:space="preserve">Direct level‑shift coefficients of technological capability (</w:t>
      </w:r>
      <m:oMath>
        <m:sSub>
          <m:e>
            <m:r>
              <m:rPr>
                <m:sty m:val="p"/>
              </m:rPr>
              <m:t>T</m:t>
            </m:r>
            <m:r>
              <m:rPr>
                <m:sty m:val="p"/>
              </m:rPr>
              <m:t>C</m:t>
            </m:r>
            <m:r>
              <m:rPr>
                <m:sty m:val="p"/>
              </m:rPr>
              <m:t>I</m:t>
            </m:r>
          </m:e>
          <m:sub>
            <m:r>
              <m:rPr>
                <m:nor/>
                <m:sty m:val="p"/>
              </m:rPr>
              <m:t>full</m:t>
            </m:r>
          </m:sub>
        </m:sSub>
      </m:oMath>
      <w:r>
        <w:t xml:space="preserve">) and digital adoption (</w:t>
      </w:r>
      <m:oMath>
        <m:sSub>
          <m:e>
            <m:r>
              <m:rPr>
                <m:sty m:val="p"/>
              </m:rPr>
              <m:t>D</m:t>
            </m:r>
            <m:r>
              <m:rPr>
                <m:sty m:val="p"/>
              </m:rPr>
              <m:t>A</m:t>
            </m:r>
            <m:r>
              <m:rPr>
                <m:sty m:val="p"/>
              </m:rPr>
              <m:t>I</m:t>
            </m:r>
          </m:e>
          <m:sub>
            <m:r>
              <m:rPr>
                <m:nor/>
                <m:sty m:val="p"/>
              </m:rPr>
              <m:t>core</m:t>
            </m:r>
          </m:sub>
        </m:sSub>
      </m:oMath>
      <w:r>
        <w:t xml:space="preserve">) by wave for Chinese private firms. Bars are within‑wave z‑standardised coefficients from the OLS‑HC1 specification with FSTS,</w:t>
      </w:r>
      <w:r>
        <w:t xml:space="preserve"> </w:t>
      </w:r>
      <m:oMath>
        <m:sSup>
          <m:e>
            <m:r>
              <m:rPr>
                <m:sty m:val="p"/>
              </m:rPr>
              <m:t>F</m:t>
            </m:r>
            <m:r>
              <m:rPr>
                <m:sty m:val="p"/>
              </m:rPr>
              <m:t>S</m:t>
            </m:r>
            <m:r>
              <m:rPr>
                <m:sty m:val="p"/>
              </m:rPr>
              <m:t>T</m:t>
            </m:r>
            <m:r>
              <m:rPr>
                <m:sty m:val="p"/>
              </m:rPr>
              <m:t>S</m:t>
            </m:r>
          </m:e>
          <m:sup>
            <m:r>
              <m:t>2</m:t>
            </m:r>
          </m:sup>
        </m:sSup>
      </m:oMath>
      <w:r>
        <w:t xml:space="preserve">,</w:t>
      </w:r>
      <w:r>
        <w:t xml:space="preserve"> </w:t>
      </w:r>
      <m:oMath>
        <m:r>
          <m:rPr>
            <m:sty m:val="p"/>
          </m:rPr>
          <m:t>ln</m:t>
        </m:r>
        <m:d>
          <m:dPr>
            <m:begChr m:val="("/>
            <m:endChr m:val=")"/>
            <m:sepChr m:val=""/>
            <m:grow/>
          </m:dPr>
          <m:e>
            <m:r>
              <m:rPr>
                <m:sty m:val="p"/>
              </m:rPr>
              <m:t>E</m:t>
            </m:r>
            <m:r>
              <m:rPr>
                <m:sty m:val="p"/>
              </m:rPr>
              <m:t>m</m:t>
            </m:r>
            <m:r>
              <m:rPr>
                <m:sty m:val="p"/>
              </m:rPr>
              <m:t>p</m:t>
            </m:r>
          </m:e>
        </m:d>
      </m:oMath>
      <w:r>
        <w:t xml:space="preserve">, firm age, foreign‑ownership dummy, and (in the pooled sample) a wave dummy as covariates. Error bars are 95 % confidence intervals.</w:t>
      </w:r>
    </w:p>
    <w:bookmarkEnd w:id="52"/>
    <w:bookmarkStart w:id="53" w:name="X2826b8818b19d53523652e6b8e9bcf84ea73df0"/>
    <w:p>
      <w:pPr>
        <w:pStyle w:val="Heading3"/>
      </w:pPr>
      <w:r>
        <w:t xml:space="preserve">4.5 Working-capital probe and convergent null moderation</w:t>
      </w:r>
    </w:p>
    <w:p>
      <w:pPr>
        <w:pStyle w:val="FirstParagraph"/>
      </w:pPr>
      <w:r>
        <w:t xml:space="preserve">Four working-capital mechanism probes (H3: overdraft access, trade-credit financing, receivables exposure, access-to-finance obstacle — each</w:t>
      </w:r>
      <w:r>
        <w:t xml:space="preserve"> </w:t>
      </w:r>
      <m:oMath>
        <m:r>
          <m:rPr>
            <m:sty m:val="p"/>
          </m:rPr>
          <m:t>×</m:t>
        </m:r>
        <m:sSup>
          <m:e>
            <m:r>
              <m:rPr>
                <m:sty m:val="p"/>
              </m:rPr>
              <m:t>F</m:t>
            </m:r>
            <m:r>
              <m:rPr>
                <m:sty m:val="p"/>
              </m:rPr>
              <m:t>S</m:t>
            </m:r>
            <m:r>
              <m:rPr>
                <m:sty m:val="p"/>
              </m:rPr>
              <m:t>T</m:t>
            </m:r>
            <m:r>
              <m:rPr>
                <m:sty m:val="p"/>
              </m:rPr>
              <m:t>S</m:t>
            </m:r>
          </m:e>
          <m:sup>
            <m:r>
              <m:t>2</m:t>
            </m:r>
          </m:sup>
        </m:sSup>
      </m:oMath>
      <w:r>
        <w:t xml:space="preserve">) return unstable patterns across waves: the overdraft interaction is +0.27 (p = .050) in 2012 but −0.38 (p = .081) in 2024; the trade-credit interaction is −0.017 (p = .009) in 2012 but null in 2024; the obstacle interaction is unexpectedly +1.64 (p = .001) in 2024 only (small-cell anomaly).</w:t>
      </w:r>
      <w:r>
        <w:t xml:space="preserve"> </w:t>
      </w:r>
      <w:r>
        <w:rPr>
          <w:bCs/>
          <w:b/>
        </w:rPr>
        <w:t xml:space="preserve">No working-capital channel is identified as a robust cross-wave moderator</w:t>
      </w:r>
      <w:r>
        <w:t xml:space="preserve"> </w:t>
      </w:r>
      <w:r>
        <w:t xml:space="preserve">(Online Appendix D for block-by-block detail).</w:t>
      </w:r>
    </w:p>
    <w:p>
      <w:pPr>
        <w:pStyle w:val="BodyText"/>
      </w:pPr>
      <w:r>
        <w:t xml:space="preserve">Three additional moderation tests converge on the same null conclusion: (i)</w:t>
      </w:r>
      <w:r>
        <w:t xml:space="preserve"> </w:t>
      </w:r>
      <m:oMath>
        <m:r>
          <m:rPr>
            <m:nor/>
            <m:sty m:val="p"/>
          </m:rPr>
          <m:t>DAI</m:t>
        </m:r>
        <m:r>
          <m:rPr>
            <m:sty m:val="p"/>
          </m:rPr>
          <m:t>×</m:t>
        </m:r>
        <m:sSup>
          <m:e>
            <m:r>
              <m:rPr>
                <m:nor/>
                <m:sty m:val="p"/>
              </m:rPr>
              <m:t>FSTS</m:t>
            </m:r>
          </m:e>
          <m:sup>
            <m:r>
              <m:t>2</m:t>
            </m:r>
          </m:sup>
        </m:sSup>
      </m:oMath>
      <w:r>
        <w:t xml:space="preserve"> </w:t>
      </w:r>
      <w:r>
        <w:t xml:space="preserve">curvature returns null in all specifications (DAI operates as a level-shifter only,</w:t>
      </w:r>
      <w:r>
        <w:t xml:space="preserve"> </w:t>
      </w:r>
      <m:oMath>
        <m:sSub>
          <m:e>
            <m:r>
              <m:t>β</m:t>
            </m:r>
          </m:e>
          <m:sub>
            <m:r>
              <m:t>z</m:t>
            </m:r>
          </m:sub>
        </m:sSub>
      </m:oMath>
      <w:r>
        <w:t xml:space="preserve"> </w:t>
      </w:r>
      <w:r>
        <w:t xml:space="preserve">= +0.05 to +0.13, p ≤ .03); (ii) companion manufacturing-SME evidence (Author Citation, 2026 — JFAR) reports DDC</w:t>
      </w:r>
      <m:oMath>
        <m:r>
          <m:rPr>
            <m:sty m:val="p"/>
          </m:rPr>
          <m:t>×</m:t>
        </m:r>
      </m:oMath>
      <w:r>
        <w:t xml:space="preserve">FSTS curvature F-test p = .89; (iii) female-manager</w:t>
      </w:r>
      <w:r>
        <w:t xml:space="preserve"> </w:t>
      </w:r>
      <m:oMath>
        <m:r>
          <m:rPr>
            <m:sty m:val="p"/>
          </m:rPr>
          <m:t>×</m:t>
        </m:r>
      </m:oMath>
      <w:r>
        <w:t xml:space="preserve"> </w:t>
      </w:r>
      <w:r>
        <w:t xml:space="preserve">FSTS yields</w:t>
      </w:r>
      <w:r>
        <w:t xml:space="preserve"> </w:t>
      </w:r>
      <m:oMath>
        <m:r>
          <m:t>β</m:t>
        </m:r>
      </m:oMath>
      <w:r>
        <w:t xml:space="preserve"> </w:t>
      </w:r>
      <w:r>
        <w:t xml:space="preserve">= 0.003, p = .892 in the same companion analysis. Manager experience is a direct level-shifter (</w:t>
      </w:r>
      <m:oMath>
        <m:r>
          <m:t>β</m:t>
        </m:r>
      </m:oMath>
      <w:r>
        <w:t xml:space="preserve"> </w:t>
      </w:r>
      <w:r>
        <w:t xml:space="preserve">= 0.015, p = .005) but not a curvature moderator.</w:t>
      </w:r>
    </w:p>
    <w:p>
      <w:pPr>
        <w:pStyle w:val="BodyText"/>
      </w:pPr>
      <w:r>
        <w:t xml:space="preserve">The convergent pattern across mechanisms, sample frames, and DAI operationalisations supports a single interpretation:</w:t>
      </w:r>
      <w:r>
        <w:t xml:space="preserve"> </w:t>
      </w:r>
      <w:r>
        <w:rPr>
          <w:bCs/>
          <w:b/>
        </w:rPr>
        <w:t xml:space="preserve">the Chinese internationalization–performance trade-off is durably structural, not capability-conditioned or wave-specific</w:t>
      </w:r>
      <w:r>
        <w:t xml:space="preserve">. The post-threshold downturn likely reflects working-capital constraints (Manova, 2013; Foley &amp; Manova, 2015; Niepmann &amp; Schmidt-Eisenlohr, 2017), but direct identification awaits richer financial microdata (cash-conversion cycle, days-receivable-outstanding, trade-finance pricing) not currently in the WBES China instrument.</w:t>
      </w:r>
    </w:p>
    <w:bookmarkEnd w:id="53"/>
    <w:bookmarkStart w:id="54" w:name="Xd32b549064dd5aa42c2456e7decf32e1a6c93be"/>
    <w:p>
      <w:pPr>
        <w:pStyle w:val="Heading3"/>
      </w:pPr>
      <w:r>
        <w:t xml:space="preserve">4.6 Manufacturing-only robustness</w:t>
      </w:r>
    </w:p>
    <w:p>
      <w:pPr>
        <w:pStyle w:val="FirstParagraph"/>
      </w:pPr>
      <w:r>
        <w:t xml:space="preserve">Re-estimating M2 on a manufacturing-only subsample (ISIC Rev 3.1 codes 15–38 for 2012, N = 1,656; ISIC Rev 4 codes 10–33 for 2024, N = 1,062; pooled N = 2,718) yields turning points of ≈42 % (2012, CI [37.8, 46.8]) and ≈30 % (2024, CI [15.1, 44.2], wider due to reduced power), both inside the 30–60 % bounded operating range but skewed toward its lower edge. The Paternoster z-test does not reject cross-wave equality (z = +1.51, p = .130 for FSTS; z = −0.96, p = .337 for</w:t>
      </w:r>
      <w:r>
        <w:t xml:space="preserve"> </w:t>
      </w:r>
      <m:oMath>
        <m:sSup>
          <m:e>
            <m:r>
              <m:rPr>
                <m:sty m:val="p"/>
              </m:rPr>
              <m:t>F</m:t>
            </m:r>
            <m:r>
              <m:rPr>
                <m:sty m:val="p"/>
              </m:rPr>
              <m:t>S</m:t>
            </m:r>
            <m:r>
              <m:rPr>
                <m:sty m:val="p"/>
              </m:rPr>
              <m:t>T</m:t>
            </m:r>
            <m:r>
              <m:rPr>
                <m:sty m:val="p"/>
              </m:rPr>
              <m:t>S</m:t>
            </m:r>
          </m:e>
          <m:sup>
            <m:r>
              <m:t>2</m:t>
            </m:r>
          </m:sup>
        </m:sSup>
      </m:oMath>
      <w:r>
        <w:t xml:space="preserve">), consistent with H2b. The main analysis retains the full private-firm frame because WBES sampling weights and the identification strategy project to that population (Online Appendix D for full estimates).</w:t>
      </w:r>
    </w:p>
    <w:bookmarkEnd w:id="54"/>
    <w:bookmarkStart w:id="55" w:name="X3b577996e48305909e26d30324a2b1d7515034c"/>
    <w:p>
      <w:pPr>
        <w:pStyle w:val="Heading3"/>
      </w:pPr>
      <w:r>
        <w:t xml:space="preserve">4.7 Specification robustness</w:t>
      </w:r>
    </w:p>
    <w:p>
      <w:pPr>
        <w:pStyle w:val="FirstParagraph"/>
      </w:pPr>
      <w:r>
        <w:t xml:space="preserve">The threshold result is robust to specification variations: FSTS &gt; 0 restriction preserves the inverted-U with reduced precision; sector fixed effects (</w:t>
      </w:r>
      <w:r>
        <w:rPr>
          <w:rStyle w:val="VerbatimChar"/>
        </w:rPr>
        <w:t xml:space="preserve">a4a</w:t>
      </w:r>
      <w:r>
        <w:t xml:space="preserve">) attenuate the FSTS coefficient ≈13 % but keep the turning point in the 30–60 % range; Heckman selection correction (significant IMR in 2012, null in 2024) shifts the FSTS coefficient by &lt;0.10 with Lind-Mehlum p &lt; .001 preserved; excluding the 217 panel firms from 2024 shifts the pooled turning point from 48.78 % to 46.88 % (within main-estimate CI); within-firm fixed-effects on the panel subsample (N ≈ 186) yields a turning point in the 47–49 % range, ruling out cross-sectional composition artefacts. Weighted estimation (</w:t>
      </w:r>
      <w:r>
        <w:rPr>
          <w:rStyle w:val="VerbatimChar"/>
        </w:rPr>
        <w:t xml:space="preserve">wmedian</w:t>
      </w:r>
      <w:r>
        <w:t xml:space="preserve">) is computationally feasible but deferred to the next revision; we do not expect it to overturn the threshold-stability conclusion. Detail in Online Appendix E.</w:t>
      </w:r>
    </w:p>
    <w:bookmarkEnd w:id="55"/>
    <w:bookmarkEnd w:id="56"/>
    <w:bookmarkStart w:id="63" w:name="X735612638e4e736e4693e459c258977262c0dfc"/>
    <w:p>
      <w:pPr>
        <w:pStyle w:val="Heading2"/>
      </w:pPr>
      <w:r>
        <w:t xml:space="preserve">5. Discussion</w:t>
      </w:r>
    </w:p>
    <w:bookmarkStart w:id="57" w:name="Xe71bdbd2c94d19191adde823b4ca6af89e4fb11"/>
    <w:p>
      <w:pPr>
        <w:pStyle w:val="Heading3"/>
      </w:pPr>
      <w:r>
        <w:t xml:space="preserve">5.1 Durability against expected shift: the principal contribution</w:t>
      </w:r>
    </w:p>
    <w:p>
      <w:pPr>
        <w:pStyle w:val="FirstParagraph"/>
      </w:pPr>
      <w:r>
        <w:t xml:space="preserve">The discussion is clearest when the paper is read as a study of</w:t>
      </w:r>
      <w:r>
        <w:t xml:space="preserve"> </w:t>
      </w:r>
      <w:r>
        <w:rPr>
          <w:bCs/>
          <w:b/>
        </w:rPr>
        <w:t xml:space="preserve">structural durability against an expected temporal shift</w:t>
      </w:r>
      <w:r>
        <w:t xml:space="preserve">. H2a predicted that the inverted-U should differ between 2012 and 2024, motivated by post-2008 trade re-equilibration, China–US tariff escalation, COVID-19 disruption, digital-infrastructure maturation, deepening GVC participation (Kano et al., 2020), and trade-finance institutional evolution (Manova, 2013; Foley &amp; Manova, 2015; Demir &amp; Javorcik, 2018). Under any of these mechanisms, the turning point or curvature should have moved.</w:t>
      </w:r>
      <w:r>
        <w:t xml:space="preserve"> </w:t>
      </w:r>
      <w:r>
        <w:rPr>
          <w:bCs/>
          <w:b/>
        </w:rPr>
        <w:t xml:space="preserve">It did not.</w:t>
      </w:r>
      <w:r>
        <w:t xml:space="preserve"> </w:t>
      </w:r>
      <w:r>
        <w:t xml:space="preserve">Paternoster z-tests fail to reject equality (p = .412 and p = .545); the joint F-test yields F(2, 3,558) = 2.24, p = .107; turning-point point estimates remain in a tight 47–49 % band with overlapping 95 % CIs across all three samples (Figure 2).</w:t>
      </w:r>
    </w:p>
    <w:p>
      <w:pPr>
        <w:pStyle w:val="BodyText"/>
      </w:pPr>
      <w:r>
        <w:t xml:space="preserve">The unexpected null is the substantive contribution. The Chinese I–P trade-off has survived a decade of shocks, institutional evolution, and technological transformation without measurably shifting. Theoretically this grounds the inverted-U in deep firm-level constraints — coordination capacity, financial slack, organisational depth (Hennart, 2007; Buckley et al., 2007) — rather than time-specific institutional conditions. Managerially, the wide overlapping CIs argue against treating any single number as a knife-edge target; the policy-relevant quantity is a</w:t>
      </w:r>
      <w:r>
        <w:t xml:space="preserve"> </w:t>
      </w:r>
      <w:r>
        <w:rPr>
          <w:iCs/>
          <w:i/>
        </w:rPr>
        <w:t xml:space="preserve">bounded operating range</w:t>
      </w:r>
      <w:r>
        <w:t xml:space="preserve"> </w:t>
      </w:r>
      <w:r>
        <w:t xml:space="preserve">of ≈30–60 % FSTS within which predicted productivity remains close to its peak.</w:t>
      </w:r>
    </w:p>
    <w:p>
      <w:pPr>
        <w:pStyle w:val="BodyText"/>
      </w:pPr>
      <w:r>
        <w:t xml:space="preserve">Capability-moderation results converge on the same conclusion. TCI is a robust level-shifter (</w:t>
      </w:r>
      <m:oMath>
        <m:sSub>
          <m:e>
            <m:r>
              <m:t>β</m:t>
            </m:r>
          </m:e>
          <m:sub>
            <m:r>
              <m:t>z</m:t>
            </m:r>
          </m:sub>
        </m:sSub>
      </m:oMath>
      <w:r>
        <w:t xml:space="preserve"> </w:t>
      </w:r>
      <w:r>
        <w:t xml:space="preserve">= +0.26 to +0.43, p &lt; .001 in every wave) but a weak curvature moderator (individual</w:t>
      </w:r>
      <w:r>
        <w:t xml:space="preserve"> </w:t>
      </w:r>
      <m:oMath>
        <m:r>
          <m:rPr>
            <m:nor/>
            <m:sty m:val="p"/>
          </m:rPr>
          <m:t>TCI</m:t>
        </m:r>
        <m:r>
          <m:rPr>
            <m:sty m:val="p"/>
          </m:rPr>
          <m:t>×</m:t>
        </m:r>
        <m:r>
          <m:rPr>
            <m:nor/>
            <m:sty m:val="p"/>
          </m:rPr>
          <m:t>FSTS</m:t>
        </m:r>
      </m:oMath>
      <w:r>
        <w:t xml:space="preserve"> </w:t>
      </w:r>
      <w:r>
        <w:t xml:space="preserve">interactions p &gt; .4; wave-specific tests fail). DAI level-shifts modestly (</w:t>
      </w:r>
      <m:oMath>
        <m:sSub>
          <m:e>
            <m:r>
              <m:t>β</m:t>
            </m:r>
          </m:e>
          <m:sub>
            <m:r>
              <m:t>z</m:t>
            </m:r>
          </m:sub>
        </m:sSub>
      </m:oMath>
      <w:r>
        <w:t xml:space="preserve"> </w:t>
      </w:r>
      <w:r>
        <w:t xml:space="preserve">= +0.05 to +0.13, p ≤ .03) without modifying curvature. The dynamic three-way moderation returns F(2, 3,558) = 0.27, p = .760 — clearly not supported. Working-capital interactions fragment across proxies and waves (§5.2). Together, the H2b confirmation, null capability curvature moderation, and unstable working-capital interactions make the contribution sharper:</w:t>
      </w:r>
      <w:r>
        <w:t xml:space="preserve"> </w:t>
      </w:r>
      <w:r>
        <w:rPr>
          <w:bCs/>
          <w:b/>
        </w:rPr>
        <w:t xml:space="preserve">the Chinese I–P trade-off is a durably bounded inverted-U whose shape is not measurably moved by wave, financial proxy, or capability stock.</w:t>
      </w:r>
      <w:r>
        <w:t xml:space="preserve"> </w:t>
      </w:r>
      <w:r>
        <w:t xml:space="preserve">This speaks to the meta-analytic heterogeneity puzzle (</w:t>
      </w:r>
      <m:oMath>
        <m:sSup>
          <m:e>
            <m:r>
              <m:t>I</m:t>
            </m:r>
          </m:e>
          <m:sup>
            <m:r>
              <m:t>2</m:t>
            </m:r>
          </m:sup>
        </m:sSup>
      </m:oMath>
      <w:r>
        <w:t xml:space="preserve"> </w:t>
      </w:r>
      <w:r>
        <w:t xml:space="preserve">≈ 88 %; Marano et al., 2016; Schwens et al., 2018): cross-country institutional variation (Filatotchev et al., 2020) likely accounts for more of the observed effect-size dispersion than within-country temporal change.</w:t>
      </w:r>
    </w:p>
    <w:bookmarkEnd w:id="57"/>
    <w:bookmarkStart w:id="58" w:name="Xc924c81f2526f2b2582982aded7de036b54cf21"/>
    <w:p>
      <w:pPr>
        <w:pStyle w:val="Heading3"/>
      </w:pPr>
      <w:r>
        <w:t xml:space="preserve">5.2 Alternative mechanisms explored</w:t>
      </w:r>
    </w:p>
    <w:p>
      <w:pPr>
        <w:pStyle w:val="FirstParagraph"/>
      </w:pPr>
      <w:r>
        <w:t xml:space="preserve">Cross-wave-comparable working-capital proxies (k7 overdraft, k8/k82 line of credit, k3-series financing structure, k30 obstacle score) tested as</w:t>
      </w:r>
      <w:r>
        <w:t xml:space="preserve"> </w:t>
      </w:r>
      <m:oMath>
        <m:sSup>
          <m:e>
            <m:r>
              <m:rPr>
                <m:sty m:val="p"/>
              </m:rPr>
              <m:t>F</m:t>
            </m:r>
            <m:r>
              <m:rPr>
                <m:sty m:val="p"/>
              </m:rPr>
              <m:t>S</m:t>
            </m:r>
            <m:r>
              <m:rPr>
                <m:sty m:val="p"/>
              </m:rPr>
              <m:t>T</m:t>
            </m:r>
            <m:r>
              <m:rPr>
                <m:sty m:val="p"/>
              </m:rPr>
              <m:t>S</m:t>
            </m:r>
          </m:e>
          <m:sup>
            <m:r>
              <m:t>2</m:t>
            </m:r>
          </m:sup>
        </m:sSup>
      </m:oMath>
      <w:r>
        <w:t xml:space="preserve"> </w:t>
      </w:r>
      <w:r>
        <w:t xml:space="preserve">interactions did not converge: Block A signs reverse across waves, Block C is significant in 2012 only, the Block D 2024 anomaly reads as a small-cell artefact, and the 2012-only Block B (k1c/k2c) is null. The pattern is consistent with the working-capital trap as a theoretically coherent mechanism (Manova, 2013) but does not directly identify the channel. Firm-level financial-statement data (cash-conversion cycle, days-receivable-outstanding, trade-finance pricing) are needed for conclusive testing.</w:t>
      </w:r>
    </w:p>
    <w:bookmarkEnd w:id="58"/>
    <w:bookmarkStart w:id="59" w:name="X8d1bb751c2bcc83d23540409c637089c7a88eba"/>
    <w:p>
      <w:pPr>
        <w:pStyle w:val="Heading3"/>
      </w:pPr>
      <w:r>
        <w:t xml:space="preserve">5.3 Managerial implications</w:t>
      </w:r>
    </w:p>
    <w:p>
      <w:pPr>
        <w:pStyle w:val="FirstParagraph"/>
      </w:pPr>
      <w:r>
        <w:t xml:space="preserve">For Chinese private firms, export expansion should be framed as a</w:t>
      </w:r>
      <w:r>
        <w:t xml:space="preserve"> </w:t>
      </w:r>
      <w:r>
        <w:rPr>
          <w:iCs/>
          <w:i/>
        </w:rPr>
        <w:t xml:space="preserve">bounded optimisation</w:t>
      </w:r>
      <w:r>
        <w:t xml:space="preserve"> </w:t>
      </w:r>
      <w:r>
        <w:t xml:space="preserve">rather than an unconstrained growth objective. The optimal zone of ≈30–60 % FSTS, stable across the decade, is the operating range within which managers can exercise strategic discretion without crossing into the productivity-eroding tail. The temporal stability gives this guidance</w:t>
      </w:r>
      <w:r>
        <w:t xml:space="preserve"> </w:t>
      </w:r>
      <w:r>
        <w:rPr>
          <w:iCs/>
          <w:i/>
        </w:rPr>
        <w:t xml:space="preserve">durable</w:t>
      </w:r>
      <w:r>
        <w:t xml:space="preserve"> </w:t>
      </w:r>
      <w:r>
        <w:t xml:space="preserve">applicability through future macroeconomic change.</w:t>
      </w:r>
    </w:p>
    <w:p>
      <w:pPr>
        <w:pStyle w:val="BodyText"/>
      </w:pPr>
      <w:r>
        <w:t xml:space="preserve">Technological capability investment (foreign-technology licensing, quality certification, product innovation, R&amp;D) supports a substantial productivity baseline that has</w:t>
      </w:r>
      <w:r>
        <w:t xml:space="preserve"> </w:t>
      </w:r>
      <w:r>
        <w:rPr>
          <w:iCs/>
          <w:i/>
        </w:rPr>
        <w:t xml:space="preserve">strengthened</w:t>
      </w:r>
      <w:r>
        <w:t xml:space="preserve"> </w:t>
      </w:r>
      <w:r>
        <w:t xml:space="preserve">over the decade (Paternoster z = −2.55, p = .011). But capability operates as a</w:t>
      </w:r>
      <w:r>
        <w:t xml:space="preserve"> </w:t>
      </w:r>
      <w:r>
        <w:rPr>
          <w:iCs/>
          <w:i/>
        </w:rPr>
        <w:t xml:space="preserve">level-shifter</w:t>
      </w:r>
      <w:r>
        <w:t xml:space="preserve">, not a curvature moderator: building capability raises productivity uniformly without pushing the threshold rightward. A firm at 70 % FSTS is approximately as exposed to overextension as it would be without TCI investment — capability raises the productivity baseline at every FSTS level but does not relax the bounded-optimum constraint at the upper tail.</w:t>
      </w:r>
    </w:p>
    <w:p>
      <w:pPr>
        <w:pStyle w:val="BodyText"/>
      </w:pPr>
      <w:r>
        <w:t xml:space="preserve">Tier-1 digital adoption (own website) is positively associated with productivity but does not remove the threshold. Managers should treat it as a complement to, not a substitute for, the financial and operational discipline required to sustain high FSTS. Deeper digital transformation (Tier 2–4 in the Verhoef et al., 2021 hierarchy) may eventually relax the threshold, but the present data cannot test this. The durability of the bounded range is itself a managerial asset for long-horizon planning.</w:t>
      </w:r>
    </w:p>
    <w:bookmarkEnd w:id="59"/>
    <w:bookmarkStart w:id="60" w:name="Xde0760727f81c883ab39a46a6e7671f2b036ef9"/>
    <w:p>
      <w:pPr>
        <w:pStyle w:val="Heading3"/>
      </w:pPr>
      <w:r>
        <w:t xml:space="preserve">5.4 Tentative policy considerations</w:t>
      </w:r>
    </w:p>
    <w:p>
      <w:pPr>
        <w:pStyle w:val="FirstParagraph"/>
      </w:pPr>
      <w:r>
        <w:t xml:space="preserve">Three policy considerations follow — tentative given the associational evidence, wide CIs, and null capability-moderation findings. First, SME export-promotion design may be more about</w:t>
      </w:r>
      <w:r>
        <w:t xml:space="preserve"> </w:t>
      </w:r>
      <w:r>
        <w:rPr>
          <w:iCs/>
          <w:i/>
        </w:rPr>
        <w:t xml:space="preserve">bounded expansion</w:t>
      </w:r>
      <w:r>
        <w:t xml:space="preserve"> </w:t>
      </w:r>
      <w:r>
        <w:t xml:space="preserve">than maximum ambition: programmes incentivising FSTS beyond the 30–60 % range without parallel liquidity/capability infrastructure risk creating exposed firms whose productivity erodes despite the policy intent. Second, SME credit-market reforms (working-capital lines, factoring, export-credit insurance, trade-finance access; Manova, 2013; Demir &amp; Javorcik, 2018) may shift the threshold rightward, but our null H3 findings suggest reforms must exceed the variation captured by current WBES proxies to produce detectable movement. Third, the decadal durability of the inverted-U implies that the bounded-range framing is robust policy guidance across macroeconomic conditions, not a wave-specific recommendation.</w:t>
      </w:r>
    </w:p>
    <w:bookmarkEnd w:id="60"/>
    <w:bookmarkStart w:id="61" w:name="X6fb952f48fe7386a51cacff4bb40301fd98916c"/>
    <w:p>
      <w:pPr>
        <w:pStyle w:val="Heading3"/>
      </w:pPr>
      <w:r>
        <w:t xml:space="preserve">5.5 Theoretical contributions</w:t>
      </w:r>
    </w:p>
    <w:p>
      <w:pPr>
        <w:pStyle w:val="FirstParagraph"/>
      </w:pPr>
      <w:r>
        <w:t xml:space="preserve">Four contributions follow.</w:t>
      </w:r>
      <w:r>
        <w:t xml:space="preserve"> </w:t>
      </w:r>
      <w:r>
        <w:rPr>
          <w:bCs/>
          <w:b/>
        </w:rPr>
        <w:t xml:space="preserve">First</w:t>
      </w:r>
      <w:r>
        <w:t xml:space="preserve">, the paper extends the I–P literature from "what shape" to "does the shape endure." Prior nonlinear studies (Hitt et al., 1997; Contractor et al., 2003; Lu &amp; Beamish, 2004) and meta-analyses (Bausch &amp; Krist, 2007; Kirca et al., 2012; Marano et al., 2016) have established the inverted-U as a pattern but rarely tested its temporal stability within a single national context. The durability finding establishes that, in China over 2012–2024, the inverted-U is a stable structural feature, not a sample-specific regularity.</w:t>
      </w:r>
    </w:p>
    <w:p>
      <w:pPr>
        <w:pStyle w:val="BodyText"/>
      </w:pPr>
      <w:r>
        <w:rPr>
          <w:bCs/>
          <w:b/>
        </w:rPr>
        <w:t xml:space="preserve">Second</w:t>
      </w:r>
      <w:r>
        <w:t xml:space="preserve">, by holding country fixed and finding within-country temporal stability, the paper supports an interpretation in which cross-country institutional context (Filatotchev et al., 2020), rather than within-country evolution, accounts for much of the meta-analytic between-study heterogeneity (</w:t>
      </w:r>
      <m:oMath>
        <m:sSup>
          <m:e>
            <m:r>
              <m:t>I</m:t>
            </m:r>
          </m:e>
          <m:sup>
            <m:r>
              <m:t>2</m:t>
            </m:r>
          </m:sup>
        </m:sSup>
      </m:oMath>
      <w:r>
        <w:t xml:space="preserve"> </w:t>
      </w:r>
      <w:r>
        <w:t xml:space="preserve">≈ 88 %). This has methodological implications for future meta-analyses.</w:t>
      </w:r>
    </w:p>
    <w:p>
      <w:pPr>
        <w:pStyle w:val="BodyText"/>
      </w:pPr>
      <w:r>
        <w:rPr>
          <w:bCs/>
          <w:b/>
        </w:rPr>
        <w:t xml:space="preserve">Third</w:t>
      </w:r>
      <w:r>
        <w:t xml:space="preserve">, the paper refines the capability/absorptive-capacity tradition by clearly distinguishing capability's level-shift role (strongly supported) from its conjectured curvature-moderation role (weak, unstable). The Lall (1992) and Cohen &amp; Levinthal (1990) logic is best read as supporting productivity baseline strengthening rather than relaxing the structural overextension constraint at the upper FSTS tail.</w:t>
      </w:r>
    </w:p>
    <w:p>
      <w:pPr>
        <w:pStyle w:val="BodyText"/>
      </w:pPr>
      <w:r>
        <w:rPr>
          <w:bCs/>
          <w:b/>
        </w:rPr>
        <w:t xml:space="preserve">Fourth</w:t>
      </w:r>
      <w:r>
        <w:t xml:space="preserve">, methodologically, the paper demonstrates the value of triangulating (a) wave-by-wave estimates, (b) Paternoster z-tests on individual coefficients, and (c) joint F-tests in pooled three-way specifications for threshold-stability testing — particularly when the substantive claim hinges on a</w:t>
      </w:r>
      <w:r>
        <w:t xml:space="preserve"> </w:t>
      </w:r>
      <w:r>
        <w:rPr>
          <w:iCs/>
          <w:i/>
        </w:rPr>
        <w:t xml:space="preserve">failure to reject</w:t>
      </w:r>
      <w:r>
        <w:t xml:space="preserve"> </w:t>
      </w:r>
      <w:r>
        <w:t xml:space="preserve">a null (Eden &amp; Nielsen, 2020; Antonakis et al., 2010; Meyer et al., 2017). The DAI level-shifter-not-slope-modifier pattern is consistent with the China manufacturing-SME baseline (Author Citation, 2026 — JFAR, DAI curvature F-test p = .89).</w:t>
      </w:r>
    </w:p>
    <w:bookmarkEnd w:id="61"/>
    <w:bookmarkStart w:id="62" w:name="X7800104b0d5bc7dc7ba4e9d3a40c8cdf7706565"/>
    <w:p>
      <w:pPr>
        <w:pStyle w:val="Heading3"/>
      </w:pPr>
      <w:r>
        <w:t xml:space="preserve">5.6 Boundary conditions</w:t>
      </w:r>
    </w:p>
    <w:p>
      <w:pPr>
        <w:pStyle w:val="FirstParagraph"/>
      </w:pPr>
      <w:r>
        <w:t xml:space="preserve">The findings are bounded by several conditions worth making explicit. The inverted-U pattern is detected in the WBES private-firm frame and may not extend to publicly-listed Chinese firms, which face different regulatory, governance, and capital-market conditions. The durability claim, moreover, is tested across two waves separated by 12 years; whether the threshold remains stable across longer windows or different sub-periods (e.g., pre- vs post-COVID) is an empirical question that the present design cannot answer. The threshold-stability finding is also China-specific; the broader internationalization-performance literature suggests substantial cross-country variation, and the durability we document may not extend to other emerging economies, a question we identify for future cross-country WBES replication. Finally, the capability-moderation null is conditional on the WBES capability instruments; richer indicators (Tier 3-4 digital integration, deeper R&amp;D-instensity measures) may yet reveal the curvature-moderation effect that the present instruments do not detect.</w:t>
      </w:r>
    </w:p>
    <w:bookmarkEnd w:id="62"/>
    <w:bookmarkEnd w:id="63"/>
    <w:bookmarkStart w:id="64" w:name="Xf3d63d3bef15b3e862b66ed5bd48a577996a1bc"/>
    <w:p>
      <w:pPr>
        <w:pStyle w:val="Heading2"/>
      </w:pPr>
      <w:r>
        <w:t xml:space="preserve">6. Limitations and Future Research</w:t>
      </w:r>
    </w:p>
    <w:p>
      <w:pPr>
        <w:pStyle w:val="FirstParagraph"/>
      </w:pPr>
      <w:r>
        <w:t xml:space="preserve">This paper has five principal limitations.</w:t>
      </w:r>
    </w:p>
    <w:p>
      <w:pPr>
        <w:pStyle w:val="BodyText"/>
      </w:pPr>
      <w:r>
        <w:rPr>
          <w:bCs/>
          <w:b/>
        </w:rPr>
        <w:t xml:space="preserve">Repeated cross-sections, not panel.</w:t>
      </w:r>
      <w:r>
        <w:t xml:space="preserve"> </w:t>
      </w:r>
      <w:r>
        <w:t xml:space="preserve">The WBES microdata are repeated cross-sections; the study cannot identify within-firm change over time or control for time-invariant unobserved heterogeneity (Antonakis et al., 2010; Eden &amp; Nielsen, 2020; Shaver, 2020). The associational language reflects this constraint. The H2b structural-durability finding should be read as cross-sectional structural similarity across two repeated samples, not within-firm temporal trajectories. The 217 panel firms common to both waves are under-utilised; combining them with a future 2032 wave would yield a 3-wave subset supporting within-firm fixed-effects estimation — identified as a high priority once data become available.</w:t>
      </w:r>
    </w:p>
    <w:p>
      <w:pPr>
        <w:pStyle w:val="BodyText"/>
      </w:pPr>
      <w:r>
        <w:rPr>
          <w:bCs/>
          <w:b/>
        </w:rPr>
        <w:t xml:space="preserve">Working-capital and digital-adoption measurement.</w:t>
      </w:r>
      <w:r>
        <w:t xml:space="preserve"> </w:t>
      </w:r>
      <w:r>
        <w:t xml:space="preserve">The receivables-exposure indicators (k1c, k2c) are absent from the 2024 WBES release, preventing cross-wave receivables-channel testing (Manova, 2013; Foley &amp; Manova, 2015). Available proxies (k7, k8/k82, k3 series, k30) did not yield robust support for the trap mechanism, so the working-capital interpretation remains theoretically grounded rather than directly established; richer financial-statement data (Orbis, CSMAR China) merged to WBES would test it conclusively. Separately,</w:t>
      </w:r>
      <w:r>
        <w:t xml:space="preserve"> </w:t>
      </w:r>
      <m:oMath>
        <m:sSub>
          <m:e>
            <m:r>
              <m:rPr>
                <m:sty m:val="p"/>
              </m:rPr>
              <m:t>D</m:t>
            </m:r>
            <m:r>
              <m:rPr>
                <m:sty m:val="p"/>
              </m:rPr>
              <m:t>A</m:t>
            </m:r>
            <m:r>
              <m:rPr>
                <m:sty m:val="p"/>
              </m:rPr>
              <m:t>I</m:t>
            </m:r>
          </m:e>
          <m:sub>
            <m:r>
              <m:rPr>
                <m:nor/>
                <m:sty m:val="p"/>
              </m:rPr>
              <m:t>core</m:t>
            </m:r>
          </m:sub>
        </m:sSub>
      </m:oMath>
      <w:r>
        <w:t xml:space="preserve"> </w:t>
      </w:r>
      <w:r>
        <w:t xml:space="preserve">measures Tier-1 digital presence only (c22b own-website); the 2024 BREADY questionnaire includes richer digital indicators absent from 2012 — a 2024-only robustness analysis using those items is a priority for the next revision.</w:t>
      </w:r>
    </w:p>
    <w:p>
      <w:pPr>
        <w:pStyle w:val="BodyText"/>
      </w:pPr>
      <w:r>
        <w:rPr>
          <w:bCs/>
          <w:b/>
        </w:rPr>
        <w:t xml:space="preserve">Sample-frame drift.</w:t>
      </w:r>
      <w:r>
        <w:t xml:space="preserve"> </w:t>
      </w:r>
      <w:r>
        <w:t xml:space="preserve">The WBES frame may have drifted across waves through manufacturing–services rebalancing or FDI-profile change; sector and ownership controls cannot fully rule out residual drift. The manufacturing-only robustness check (§4.6) partially addresses this with directionally consistent results but wider CIs. Re-weighting the 2024 sample to the 2012 industry-region-size strata distribution is identified as a priority.</w:t>
      </w:r>
    </w:p>
    <w:p>
      <w:pPr>
        <w:pStyle w:val="BodyText"/>
      </w:pPr>
      <w:r>
        <w:rPr>
          <w:bCs/>
          <w:b/>
        </w:rPr>
        <w:t xml:space="preserve">Power for capability-conditioned dynamic moderation.</w:t>
      </w:r>
      <w:r>
        <w:t xml:space="preserve"> </w:t>
      </w:r>
      <w:r>
        <w:t xml:space="preserve">The null three-way F(2, 3,558) = 0.27, p = .760 could reflect either genuine absence or insufficient power given narrow Tech variation in WBES indicators (Pierce &amp; Aguinis, 2013). A dataset with 3+ waves and more granular capability instruments (Nambisan et al., 2019) would provide a stronger test.</w:t>
      </w:r>
    </w:p>
    <w:p>
      <w:pPr>
        <w:pStyle w:val="BodyText"/>
      </w:pPr>
      <w:r>
        <w:rPr>
          <w:bCs/>
          <w:b/>
        </w:rPr>
        <w:t xml:space="preserve">Generalisability.</w:t>
      </w:r>
      <w:r>
        <w:t xml:space="preserve"> </w:t>
      </w:r>
      <w:r>
        <w:t xml:space="preserve">Inferences apply to the two China waves studied; extension to other emerging-economy private-firm settings is an empirical question for separate work. A natural next step is multi-country WBES replication of the threshold-stability test (Vietnam, Indonesia, India; Author Citation, 2026 — VEFR) to establish whether the durable-structure interpretation generalises or remains country-specific (Filatotchev et al., 2020; Kano et al., 2020). The WBES infrastructure supports such replication at low marginal cost because the instrument, sample frame, and weights are harmonised across countries.</w:t>
      </w:r>
    </w:p>
    <w:p>
      <w:pPr>
        <w:pStyle w:val="BodyText"/>
      </w:pPr>
      <w:r>
        <w:t xml:space="preserve">Combined with the documented heterogeneity in the broader I–P literature (Marano et al., 2016; Schwens et al., 2018), the durability result suggests the inverted-U's shape may be more sensitive to cross-country institutional context than to within-country temporal change — a hypothesis worth testing with the cross-country WBES corpus.</w:t>
      </w:r>
    </w:p>
    <w:p>
      <w:r>
        <w:pict>
          <v:rect style="width:0;height:1.5pt" o:hralign="center" o:hrstd="t" o:hr="t"/>
        </w:pict>
      </w:r>
    </w:p>
    <w:bookmarkEnd w:id="64"/>
    <w:bookmarkStart w:id="66" w:name="acknowledgements"/>
    <w:p>
      <w:pPr>
        <w:pStyle w:val="Heading2"/>
      </w:pPr>
      <w:r>
        <w:t xml:space="preserve">Acknowledgements</w:t>
      </w:r>
    </w:p>
    <w:p>
      <w:pPr>
        <w:pStyle w:val="FirstParagraph"/>
      </w:pPr>
      <w:r>
        <w:t xml:space="preserve">Source: World Bank Enterprise Surveys,</w:t>
      </w:r>
      <w:r>
        <w:t xml:space="preserve"> </w:t>
      </w:r>
      <w:hyperlink r:id="rId65">
        <w:r>
          <w:rPr>
            <w:rStyle w:val="Hyperlink"/>
          </w:rPr>
          <w:t xml:space="preserve">www.enterprisesurveys.org</w:t>
        </w:r>
      </w:hyperlink>
      <w:r>
        <w:t xml:space="preserve">. We thank the Enterprise Analysis Unit of the Development Economics Global Indicators Group of the World Bank for the data. The user of the data acknowledges that the original collector of the data, the authorised distributor of the data, and the relevant funding agency bear no responsibility for use of the data or for interpretations or inferences based upon such uses. The findings, interpretations, and conclusions expressed in this paper are entirely those of the authors and do not necessarily represent the views of the World Bank Group, its Executive Directors, or the governments they represent.</w:t>
      </w:r>
    </w:p>
    <w:p>
      <w:pPr>
        <w:pStyle w:val="BodyText"/>
      </w:pPr>
      <w:r>
        <w:t xml:space="preserve">The authors received no specific grant from any funding agency in the public, commercial, or not‑for‑profit sectors for the research, authorship, or publication of this article. The authors declare no conflicts of interest.</w:t>
      </w:r>
    </w:p>
    <w:bookmarkEnd w:id="66"/>
    <w:bookmarkStart w:id="67" w:name="conflict-of-interest"/>
    <w:p>
      <w:pPr>
        <w:pStyle w:val="Heading2"/>
      </w:pPr>
      <w:r>
        <w:t xml:space="preserve">Conflict of Interest</w:t>
      </w:r>
    </w:p>
    <w:p>
      <w:pPr>
        <w:pStyle w:val="FirstParagraph"/>
      </w:pPr>
      <w:r>
        <w:t xml:space="preserve">The authors declare no conflict of interest.</w:t>
      </w:r>
    </w:p>
    <w:bookmarkEnd w:id="67"/>
    <w:bookmarkStart w:id="68" w:name="funding"/>
    <w:p>
      <w:pPr>
        <w:pStyle w:val="Heading2"/>
      </w:pPr>
      <w:r>
        <w:t xml:space="preserve">Funding</w:t>
      </w:r>
    </w:p>
    <w:p>
      <w:pPr>
        <w:pStyle w:val="FirstParagraph"/>
      </w:pPr>
      <w:r>
        <w:t xml:space="preserve">This research received no specific grant from any funding agency in the public, commercial, or not-for-profit sectors.</w:t>
      </w:r>
    </w:p>
    <w:bookmarkEnd w:id="68"/>
    <w:bookmarkStart w:id="70" w:name="data-availability-statement"/>
    <w:p>
      <w:pPr>
        <w:pStyle w:val="Heading2"/>
      </w:pPr>
      <w:r>
        <w:t xml:space="preserve">Data Availability Statement</w:t>
      </w:r>
    </w:p>
    <w:p>
      <w:pPr>
        <w:pStyle w:val="FirstParagraph"/>
      </w:pPr>
      <w:r>
        <w:t xml:space="preserve">The data that support the findings of this study are from the World Bank Enterprise Surveys (WBES) China 2012 and 2024 waves, publicly available via the World Bank Enterprise Surveys portal (</w:t>
      </w:r>
      <w:hyperlink r:id="rId69">
        <w:r>
          <w:rPr>
            <w:rStyle w:val="Hyperlink"/>
          </w:rPr>
          <w:t xml:space="preserve">https://www.enterprisesurveys.org</w:t>
        </w:r>
      </w:hyperlink>
      <w:r>
        <w:t xml:space="preserve">), subject to registration and compliance with the WBES Data Access Protocol. Replication materials—including the harmonisation protocol across the two waves, variable-construction code, model specifications, and computational outputs—are available from the corresponding author on reasonable request and may be shared to the extent permitted by the WBES data-access terms.</w:t>
      </w:r>
    </w:p>
    <w:bookmarkEnd w:id="70"/>
    <w:bookmarkStart w:id="71" w:name="X799c23334c5944d058eaf15944a1408ff96b683"/>
    <w:p>
      <w:pPr>
        <w:pStyle w:val="Heading2"/>
      </w:pPr>
      <w:r>
        <w:t xml:space="preserve">Use of Generative AI in the Writing Process</w:t>
      </w:r>
    </w:p>
    <w:p>
      <w:pPr>
        <w:pStyle w:val="FirstParagraph"/>
      </w:pPr>
      <w:r>
        <w:t xml:space="preserve">Generative AI tools were used during manuscript preparation to assist with language editing, consistency checking of statistical notation across the two-wave harmonisation, and assembly of replication-package documentation. All conceptual framing, hypothesis development, empirical analysis, results interpretation, and final wording were authored by the human authors, who take full responsibility for the content of the publication.</w:t>
      </w:r>
    </w:p>
    <w:p>
      <w:r>
        <w:pict>
          <v:rect style="width:0;height:1.5pt" o:hralign="center" o:hrstd="t" o:hr="t"/>
        </w:pict>
      </w:r>
    </w:p>
    <w:bookmarkEnd w:id="71"/>
    <w:bookmarkStart w:id="111" w:name="references"/>
    <w:p>
      <w:pPr>
        <w:pStyle w:val="Heading2"/>
      </w:pPr>
      <w:r>
        <w:t xml:space="preserve">References</w:t>
      </w:r>
    </w:p>
    <w:p>
      <w:pPr>
        <w:pStyle w:val="FirstParagraph"/>
      </w:pPr>
      <w:r>
        <w:t xml:space="preserve">Antonakis, J., Bendahan, S., Jacquart, P., &amp; Lalive, R. (2010). On making causal claims: A review and recommendations.</w:t>
      </w:r>
      <w:r>
        <w:t xml:space="preserve"> </w:t>
      </w:r>
      <w:r>
        <w:rPr>
          <w:iCs/>
          <w:i/>
        </w:rPr>
        <w:t xml:space="preserve">The Leadership Quarterly, 21</w:t>
      </w:r>
      <w:r>
        <w:t xml:space="preserve">(6), 1086–1120.</w:t>
      </w:r>
      <w:r>
        <w:t xml:space="preserve"> </w:t>
      </w:r>
      <w:hyperlink r:id="rId72">
        <w:r>
          <w:rPr>
            <w:rStyle w:val="Hyperlink"/>
          </w:rPr>
          <w:t xml:space="preserve">https://doi.org/10.1016/j.leaqua.2010.10.010</w:t>
        </w:r>
      </w:hyperlink>
    </w:p>
    <w:p>
      <w:pPr>
        <w:pStyle w:val="BodyText"/>
      </w:pPr>
      <w:r>
        <w:t xml:space="preserve">Avenyo, E. K., Tregenna, F., &amp; Kraemer-Mbula, E. (2021). Do productive capabilities affect export performance? Evidence from African firms.</w:t>
      </w:r>
      <w:r>
        <w:t xml:space="preserve"> </w:t>
      </w:r>
      <w:r>
        <w:rPr>
          <w:iCs/>
          <w:i/>
        </w:rPr>
        <w:t xml:space="preserve">European Journal of Development Research, 33</w:t>
      </w:r>
      <w:r>
        <w:t xml:space="preserve">(2), 304–329.</w:t>
      </w:r>
      <w:r>
        <w:t xml:space="preserve"> </w:t>
      </w:r>
      <w:hyperlink r:id="rId73">
        <w:r>
          <w:rPr>
            <w:rStyle w:val="Hyperlink"/>
          </w:rPr>
          <w:t xml:space="preserve">https://doi.org/10.1057/s41287-021-00364-6</w:t>
        </w:r>
      </w:hyperlink>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w:t>
      </w:r>
      <w:r>
        <w:t xml:space="preserve"> </w:t>
      </w:r>
      <w:hyperlink r:id="rId74">
        <w:r>
          <w:rPr>
            <w:rStyle w:val="Hyperlink"/>
          </w:rPr>
          <w:t xml:space="preserve">https://doi.org/10.1007/s11575-007-0019-z</w:t>
        </w:r>
      </w:hyperlink>
    </w:p>
    <w:p>
      <w:pPr>
        <w:pStyle w:val="BodyText"/>
      </w:pPr>
      <w:r>
        <w:t xml:space="preserve">Bharadwaj, A., El Sawy, O. A., Pavlou, P. A., &amp; Venkatraman, N. (2013). Digital business strategy: Toward a next generation of insights.</w:t>
      </w:r>
      <w:r>
        <w:t xml:space="preserve"> </w:t>
      </w:r>
      <w:r>
        <w:rPr>
          <w:iCs/>
          <w:i/>
        </w:rPr>
        <w:t xml:space="preserve">MIS Quarterly, 37</w:t>
      </w:r>
      <w:r>
        <w:t xml:space="preserve">(2), 471–482.</w:t>
      </w:r>
      <w:r>
        <w:t xml:space="preserve"> </w:t>
      </w:r>
      <w:hyperlink r:id="rId75">
        <w:r>
          <w:rPr>
            <w:rStyle w:val="Hyperlink"/>
          </w:rPr>
          <w:t xml:space="preserve">https://doi.org/10.25300/MISQ/2013/37:2.3</w:t>
        </w:r>
      </w:hyperlink>
    </w:p>
    <w:p>
      <w:pPr>
        <w:pStyle w:val="BodyText"/>
      </w:pPr>
      <w:r>
        <w:t xml:space="preserve">Buckley, P. J., Clegg, L. J., Cross, A. R., Liu, X., Voss, H., &amp; Zheng, P. (2007). The determinants of Chinese outward foreign direct investment.</w:t>
      </w:r>
      <w:r>
        <w:t xml:space="preserve"> </w:t>
      </w:r>
      <w:r>
        <w:rPr>
          <w:iCs/>
          <w:i/>
        </w:rPr>
        <w:t xml:space="preserve">Journal of International Business Studies, 38</w:t>
      </w:r>
      <w:r>
        <w:t xml:space="preserve">(4), 499–518.</w:t>
      </w:r>
      <w:r>
        <w:t xml:space="preserve"> </w:t>
      </w:r>
      <w:hyperlink r:id="rId76">
        <w:r>
          <w:rPr>
            <w:rStyle w:val="Hyperlink"/>
          </w:rPr>
          <w:t xml:space="preserve">https://doi.org/10.1057/palgrave.jibs.8400277</w:t>
        </w:r>
      </w:hyperlink>
    </w:p>
    <w:p>
      <w:pPr>
        <w:pStyle w:val="BodyText"/>
      </w:pPr>
      <w:r>
        <w:t xml:space="preserve">Chen, S., &amp; Tan, H. (2012). Region effects in the internationalization–performance relationship in Chinese firms.</w:t>
      </w:r>
      <w:r>
        <w:t xml:space="preserve"> </w:t>
      </w:r>
      <w:r>
        <w:rPr>
          <w:iCs/>
          <w:i/>
        </w:rPr>
        <w:t xml:space="preserve">Journal of World Business, 47</w:t>
      </w:r>
      <w:r>
        <w:t xml:space="preserve">(1), 73–80.</w:t>
      </w:r>
      <w:r>
        <w:t xml:space="preserve"> </w:t>
      </w:r>
      <w:hyperlink r:id="rId77">
        <w:r>
          <w:rPr>
            <w:rStyle w:val="Hyperlink"/>
          </w:rPr>
          <w:t xml:space="preserve">https://doi.org/10.1016/j.jwb.2010.10.022</w:t>
        </w:r>
      </w:hyperlink>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w:t>
      </w:r>
      <w:r>
        <w:t xml:space="preserve"> </w:t>
      </w:r>
      <w:hyperlink r:id="rId78">
        <w:r>
          <w:rPr>
            <w:rStyle w:val="Hyperlink"/>
          </w:rPr>
          <w:t xml:space="preserve">https://doi.org/10.2307/2393553</w:t>
        </w:r>
      </w:hyperlink>
    </w:p>
    <w:p>
      <w:pPr>
        <w:pStyle w:val="BodyText"/>
      </w:pPr>
      <w:r>
        <w:t xml:space="preserve">Contractor, F. J. (2007). Is international business good for companies? The evolutionary or multi-stage theory of internationalization vs. the transaction cost perspective.</w:t>
      </w:r>
      <w:r>
        <w:t xml:space="preserve"> </w:t>
      </w:r>
      <w:r>
        <w:rPr>
          <w:iCs/>
          <w:i/>
        </w:rPr>
        <w:t xml:space="preserve">Management International Review, 47</w:t>
      </w:r>
      <w:r>
        <w:t xml:space="preserve">(3), 453–475.</w:t>
      </w:r>
      <w:r>
        <w:t xml:space="preserve"> </w:t>
      </w:r>
      <w:hyperlink r:id="rId79">
        <w:r>
          <w:rPr>
            <w:rStyle w:val="Hyperlink"/>
          </w:rPr>
          <w:t xml:space="preserve">https://doi.org/10.1007/s11575-007-0023-3</w:t>
        </w:r>
      </w:hyperlink>
    </w:p>
    <w:p>
      <w:pPr>
        <w:pStyle w:val="BodyText"/>
      </w:pP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w:t>
      </w:r>
      <w:r>
        <w:t xml:space="preserve"> </w:t>
      </w:r>
      <w:hyperlink r:id="rId80">
        <w:r>
          <w:rPr>
            <w:rStyle w:val="Hyperlink"/>
          </w:rPr>
          <w:t xml:space="preserve">https://doi.org/10.1057/palgrave.jibs.8400003</w:t>
        </w:r>
      </w:hyperlink>
    </w:p>
    <w:p>
      <w:pPr>
        <w:pStyle w:val="BodyText"/>
      </w:pPr>
      <w:r>
        <w:t xml:space="preserve">Demir, B., &amp; Javorcik, B. (2018). Don't throw in the towel, throw in trade credit!</w:t>
      </w:r>
      <w:r>
        <w:t xml:space="preserve"> </w:t>
      </w:r>
      <w:r>
        <w:rPr>
          <w:iCs/>
          <w:i/>
        </w:rPr>
        <w:t xml:space="preserve">Journal of International Economics, 111</w:t>
      </w:r>
      <w:r>
        <w:t xml:space="preserve">, 177–189.</w:t>
      </w:r>
      <w:r>
        <w:t xml:space="preserve"> </w:t>
      </w:r>
      <w:hyperlink r:id="rId81">
        <w:r>
          <w:rPr>
            <w:rStyle w:val="Hyperlink"/>
          </w:rPr>
          <w:t xml:space="preserve">https://doi.org/10.1016/j.jinteco.2018.01.008</w:t>
        </w:r>
      </w:hyperlink>
    </w:p>
    <w:p>
      <w:pPr>
        <w:pStyle w:val="BodyText"/>
      </w:pPr>
      <w:r>
        <w:t xml:space="preserve">Author Citation (2025 — ICBEF). Internationalization and firm performance: A meta-analysis review. In</w:t>
      </w:r>
      <w:r>
        <w:t xml:space="preserve"> </w:t>
      </w:r>
      <w:r>
        <w:rPr>
          <w:iCs/>
          <w:i/>
        </w:rPr>
        <w:t xml:space="preserve">Proceedings of the 6th International Conference on Economics, Business, and Finance</w:t>
      </w:r>
      <w:r>
        <w:t xml:space="preserve"> </w:t>
      </w:r>
      <w:r>
        <w:t xml:space="preserve">(Vol. 2, pp. 469–489). [Publisher details withheld for blind review.]</w:t>
      </w:r>
    </w:p>
    <w:p>
      <w:pPr>
        <w:pStyle w:val="BodyText"/>
      </w:pPr>
      <w:r>
        <w:t xml:space="preserve">Author Citation (2026 — VEFR). Firm performance heterogeneity in emerging Asia: Evidence from World Bank Enterprise Surveys.</w:t>
      </w:r>
      <w:r>
        <w:t xml:space="preserve"> </w:t>
      </w:r>
      <w:r>
        <w:rPr>
          <w:iCs/>
          <w:i/>
        </w:rPr>
        <w:t xml:space="preserve">Vietnam Economic and Financial Review</w:t>
      </w:r>
      <w:r>
        <w:t xml:space="preserve">. [Author details withheld for blind review.]</w:t>
      </w:r>
    </w:p>
    <w:p>
      <w:pPr>
        <w:pStyle w:val="BodyText"/>
      </w:pPr>
      <w:r>
        <w:t xml:space="preserve">Author Citation (2026 — JFAR). Unveiling the impact of Chinese manufacturing SMEs' internationalization on performance.</w:t>
      </w:r>
      <w:r>
        <w:t xml:space="preserve"> </w:t>
      </w:r>
      <w:r>
        <w:rPr>
          <w:iCs/>
          <w:i/>
        </w:rPr>
        <w:t xml:space="preserve">Journal of Finance &amp; Accounting Research, 02</w:t>
      </w:r>
      <w:r>
        <w:t xml:space="preserve">(39), 287–291. [Author details withheld for blind review.]</w:t>
      </w:r>
    </w:p>
    <w:p>
      <w:pPr>
        <w:pStyle w:val="BodyText"/>
      </w:pPr>
      <w:r>
        <w:t xml:space="preserve">Eden, L., &amp; Nielsen, B. B. (2020). Research methods in international business: The challenge of complexity.</w:t>
      </w:r>
      <w:r>
        <w:t xml:space="preserve"> </w:t>
      </w:r>
      <w:r>
        <w:rPr>
          <w:iCs/>
          <w:i/>
        </w:rPr>
        <w:t xml:space="preserve">Journal of International Business Studies, 51</w:t>
      </w:r>
      <w:r>
        <w:t xml:space="preserve">(9), 1609–1620.</w:t>
      </w:r>
      <w:r>
        <w:t xml:space="preserve"> </w:t>
      </w:r>
      <w:hyperlink r:id="rId82">
        <w:r>
          <w:rPr>
            <w:rStyle w:val="Hyperlink"/>
          </w:rPr>
          <w:t xml:space="preserve">https://doi.org/10.1057/s41267-020-00374-2</w:t>
        </w:r>
      </w:hyperlink>
    </w:p>
    <w:p>
      <w:pPr>
        <w:pStyle w:val="BodyText"/>
      </w:pPr>
      <w:r>
        <w:t xml:space="preserve">Feng, D., Chen, Q., Song, M., &amp; Cui, L. (2019). Relationship between the degree of internationalization and performance in manufacturing enterprises of the Yangtze River Delta region.</w:t>
      </w:r>
      <w:r>
        <w:t xml:space="preserve"> </w:t>
      </w:r>
      <w:r>
        <w:rPr>
          <w:iCs/>
          <w:i/>
        </w:rPr>
        <w:t xml:space="preserve">Emerging Markets Finance and Trade, 55</w:t>
      </w:r>
      <w:r>
        <w:t xml:space="preserve">(7), 1455–1471.</w:t>
      </w:r>
      <w:r>
        <w:t xml:space="preserve"> </w:t>
      </w:r>
      <w:hyperlink r:id="rId83">
        <w:r>
          <w:rPr>
            <w:rStyle w:val="Hyperlink"/>
          </w:rPr>
          <w:t xml:space="preserve">https://doi.org/10.1080/1540496X.2018.1547270</w:t>
        </w:r>
      </w:hyperlink>
    </w:p>
    <w:p>
      <w:pPr>
        <w:pStyle w:val="BodyText"/>
      </w:pPr>
      <w:r>
        <w:t xml:space="preserve">Filatotchev, I., Wei, L. Q., Sarala, R. M., Dick, P., &amp; Prescott, J. E. (2020). Connecting eastern and western perspectives on management: Translation of practices across organizations, institution and geographies.</w:t>
      </w:r>
      <w:r>
        <w:t xml:space="preserve"> </w:t>
      </w:r>
      <w:r>
        <w:rPr>
          <w:iCs/>
          <w:i/>
        </w:rPr>
        <w:t xml:space="preserve">Journal of Management Studies, 57</w:t>
      </w:r>
      <w:r>
        <w:t xml:space="preserve">(1), 1–24.</w:t>
      </w:r>
      <w:r>
        <w:t xml:space="preserve"> </w:t>
      </w:r>
      <w:hyperlink r:id="rId84">
        <w:r>
          <w:rPr>
            <w:rStyle w:val="Hyperlink"/>
          </w:rPr>
          <w:t xml:space="preserve">https://doi.org/10.1111/joms.12526</w:t>
        </w:r>
      </w:hyperlink>
    </w:p>
    <w:p>
      <w:pPr>
        <w:pStyle w:val="BodyText"/>
      </w:pPr>
      <w:r>
        <w:t xml:space="preserve">Foley, C. F., &amp; Manova, K. (2015). International trade, multinational activity, and corporate finance.</w:t>
      </w:r>
      <w:r>
        <w:t xml:space="preserve"> </w:t>
      </w:r>
      <w:r>
        <w:rPr>
          <w:iCs/>
          <w:i/>
        </w:rPr>
        <w:t xml:space="preserve">Annual Review of Economics, 7</w:t>
      </w:r>
      <w:r>
        <w:t xml:space="preserve">, 119–146.</w:t>
      </w:r>
      <w:r>
        <w:t xml:space="preserve"> </w:t>
      </w:r>
      <w:hyperlink r:id="rId85">
        <w:r>
          <w:rPr>
            <w:rStyle w:val="Hyperlink"/>
          </w:rPr>
          <w:t xml:space="preserve">https://doi.org/10.1146/annurev-economics-080614-115453</w:t>
        </w:r>
      </w:hyperlink>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w:t>
      </w:r>
      <w:r>
        <w:t xml:space="preserve"> </w:t>
      </w:r>
      <w:hyperlink r:id="rId86">
        <w:r>
          <w:rPr>
            <w:rStyle w:val="Hyperlink"/>
          </w:rPr>
          <w:t xml:space="preserve">https://doi.org/10.1002/smj.2399</w:t>
        </w:r>
      </w:hyperlink>
    </w:p>
    <w:p>
      <w:pPr>
        <w:pStyle w:val="BodyText"/>
      </w:pPr>
      <w:r>
        <w:t xml:space="preserve">Hanelt, A., Bohnsack, R., Marz, D., &amp; Antunes Marante, C. (2021). A systematic review of the literature on digital transformation: Insights and implications for strategy and organizational change.</w:t>
      </w:r>
      <w:r>
        <w:t xml:space="preserve"> </w:t>
      </w:r>
      <w:r>
        <w:rPr>
          <w:iCs/>
          <w:i/>
        </w:rPr>
        <w:t xml:space="preserve">Journal of Management Studies, 58</w:t>
      </w:r>
      <w:r>
        <w:t xml:space="preserve">(5), 1159–1197.</w:t>
      </w:r>
      <w:r>
        <w:t xml:space="preserve"> </w:t>
      </w:r>
      <w:hyperlink r:id="rId87">
        <w:r>
          <w:rPr>
            <w:rStyle w:val="Hyperlink"/>
          </w:rPr>
          <w:t xml:space="preserve">https://doi.org/10.1111/joms.12639</w:t>
        </w:r>
      </w:hyperlink>
    </w:p>
    <w:p>
      <w:pPr>
        <w:pStyle w:val="BodyText"/>
      </w:pPr>
      <w:r>
        <w:t xml:space="preserve">Hennart, J.-F. (2007). The theoretical rationale for a multinationality–performance relationship.</w:t>
      </w:r>
      <w:r>
        <w:t xml:space="preserve"> </w:t>
      </w:r>
      <w:r>
        <w:rPr>
          <w:iCs/>
          <w:i/>
        </w:rPr>
        <w:t xml:space="preserve">Management International Review, 47</w:t>
      </w:r>
      <w:r>
        <w:t xml:space="preserve">(3), 423–452.</w:t>
      </w:r>
      <w:r>
        <w:t xml:space="preserve"> </w:t>
      </w:r>
      <w:hyperlink r:id="rId88">
        <w:r>
          <w:rPr>
            <w:rStyle w:val="Hyperlink"/>
          </w:rPr>
          <w:t xml:space="preserve">https://doi.org/10.1007/s11575-007-0022-4</w:t>
        </w:r>
      </w:hyperlink>
    </w:p>
    <w:p>
      <w:pPr>
        <w:pStyle w:val="BodyTex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w:t>
      </w:r>
      <w:r>
        <w:t xml:space="preserve"> </w:t>
      </w:r>
      <w:hyperlink r:id="rId89">
        <w:r>
          <w:rPr>
            <w:rStyle w:val="Hyperlink"/>
          </w:rPr>
          <w:t xml:space="preserve">https://doi.org/10.5465/256948</w:t>
        </w:r>
      </w:hyperlink>
    </w:p>
    <w:p>
      <w:pPr>
        <w:pStyle w:val="BodyText"/>
      </w:pPr>
      <w:r>
        <w:t xml:space="preserve">Kano, L., Tsang, E. W. K., &amp; Yeung, H. W.-C. (2020). Global value chains: A review of the multi-disciplinary literature.</w:t>
      </w:r>
      <w:r>
        <w:t xml:space="preserve"> </w:t>
      </w:r>
      <w:r>
        <w:rPr>
          <w:iCs/>
          <w:i/>
        </w:rPr>
        <w:t xml:space="preserve">Journal of International Business Studies, 51</w:t>
      </w:r>
      <w:r>
        <w:t xml:space="preserve">(4), 577–622.</w:t>
      </w:r>
      <w:r>
        <w:t xml:space="preserve"> </w:t>
      </w:r>
      <w:hyperlink r:id="rId90">
        <w:r>
          <w:rPr>
            <w:rStyle w:val="Hyperlink"/>
          </w:rPr>
          <w:t xml:space="preserve">https://doi.org/10.1057/s41267-020-00304-2</w:t>
        </w:r>
      </w:hyperlink>
    </w:p>
    <w:p>
      <w:pPr>
        <w:pStyle w:val="BodyText"/>
      </w:pPr>
      <w:r>
        <w:t xml:space="preserve">Kirca, A. H., Roth, K., Hult, G. T. M., &amp; Cavusgil, S. T. (2012). The role of context in the multinationality–performance relationship: A meta-analytic review.</w:t>
      </w:r>
      <w:r>
        <w:t xml:space="preserve"> </w:t>
      </w:r>
      <w:r>
        <w:rPr>
          <w:iCs/>
          <w:i/>
        </w:rPr>
        <w:t xml:space="preserve">Global Strategy Journal, 2</w:t>
      </w:r>
      <w:r>
        <w:t xml:space="preserve">(2), 108–121.</w:t>
      </w:r>
      <w:r>
        <w:t xml:space="preserve"> </w:t>
      </w:r>
      <w:hyperlink r:id="rId91">
        <w:r>
          <w:rPr>
            <w:rStyle w:val="Hyperlink"/>
          </w:rPr>
          <w:t xml:space="preserve">https://doi.org/10.1111/j.2042-5805.2012.01028.x</w:t>
        </w:r>
      </w:hyperlink>
    </w:p>
    <w:p>
      <w:pPr>
        <w:pStyle w:val="BodyText"/>
      </w:pPr>
      <w:r>
        <w:t xml:space="preserve">Lall, S. (1992). Technological capabilities and industrialization.</w:t>
      </w:r>
      <w:r>
        <w:t xml:space="preserve"> </w:t>
      </w:r>
      <w:r>
        <w:rPr>
          <w:iCs/>
          <w:i/>
        </w:rPr>
        <w:t xml:space="preserve">World Development, 20</w:t>
      </w:r>
      <w:r>
        <w:t xml:space="preserve">(2), 165–186.</w:t>
      </w:r>
      <w:r>
        <w:t xml:space="preserve"> </w:t>
      </w:r>
      <w:hyperlink r:id="rId92">
        <w:r>
          <w:rPr>
            <w:rStyle w:val="Hyperlink"/>
          </w:rPr>
          <w:t xml:space="preserve">https://doi.org/10.1016/0305-750X(92)90097-F</w:t>
        </w:r>
      </w:hyperlink>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w:t>
      </w:r>
      <w:r>
        <w:t xml:space="preserve"> </w:t>
      </w:r>
      <w:hyperlink r:id="rId93">
        <w:r>
          <w:rPr>
            <w:rStyle w:val="Hyperlink"/>
          </w:rPr>
          <w:t xml:space="preserve">https://doi.org/10.1111/j.1468-0084.2009.00569.x</w:t>
        </w:r>
      </w:hyperlink>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w:t>
      </w:r>
      <w:r>
        <w:t xml:space="preserve"> </w:t>
      </w:r>
      <w:hyperlink r:id="rId94">
        <w:r>
          <w:rPr>
            <w:rStyle w:val="Hyperlink"/>
          </w:rPr>
          <w:t xml:space="preserve">https://doi.org/10.5465/20159604</w:t>
        </w:r>
      </w:hyperlink>
    </w:p>
    <w:p>
      <w:pPr>
        <w:pStyle w:val="BodyText"/>
      </w:pPr>
      <w:r>
        <w:t xml:space="preserve">MacKinnon, J. G., &amp; White, H. (1985). Some heteroskedasticity-consistent covariance matrix estimators with improved finite sample properties.</w:t>
      </w:r>
      <w:r>
        <w:t xml:space="preserve"> </w:t>
      </w:r>
      <w:r>
        <w:rPr>
          <w:iCs/>
          <w:i/>
        </w:rPr>
        <w:t xml:space="preserve">Journal of Econometrics, 29</w:t>
      </w:r>
      <w:r>
        <w:t xml:space="preserve">(3), 305–325.</w:t>
      </w:r>
      <w:r>
        <w:t xml:space="preserve"> </w:t>
      </w:r>
      <w:hyperlink r:id="rId95">
        <w:r>
          <w:rPr>
            <w:rStyle w:val="Hyperlink"/>
          </w:rPr>
          <w:t xml:space="preserve">https://doi.org/10.1016/0304-4076(85)90158-7</w:t>
        </w:r>
      </w:hyperlink>
    </w:p>
    <w:p>
      <w:pPr>
        <w:pStyle w:val="BodyText"/>
      </w:pPr>
      <w:r>
        <w:t xml:space="preserve">Manova, K. (2013). Credit constraints, heterogeneous firms, and international trade.</w:t>
      </w:r>
      <w:r>
        <w:t xml:space="preserve"> </w:t>
      </w:r>
      <w:r>
        <w:rPr>
          <w:iCs/>
          <w:i/>
        </w:rPr>
        <w:t xml:space="preserve">Review of Economic Studies, 80</w:t>
      </w:r>
      <w:r>
        <w:t xml:space="preserve">(2), 711–744.</w:t>
      </w:r>
      <w:r>
        <w:t xml:space="preserve"> </w:t>
      </w:r>
      <w:hyperlink r:id="rId96">
        <w:r>
          <w:rPr>
            <w:rStyle w:val="Hyperlink"/>
          </w:rPr>
          <w:t xml:space="preserve">https://doi.org/10.1093/restud/rds036</w:t>
        </w:r>
      </w:hyperlink>
    </w:p>
    <w:p>
      <w:pPr>
        <w:pStyle w:val="BodyText"/>
      </w:pP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w:t>
      </w:r>
      <w:r>
        <w:t xml:space="preserve"> </w:t>
      </w:r>
      <w:hyperlink r:id="rId97">
        <w:r>
          <w:rPr>
            <w:rStyle w:val="Hyperlink"/>
          </w:rPr>
          <w:t xml:space="preserve">https://doi.org/10.1177/0149206315624963</w:t>
        </w:r>
      </w:hyperlink>
    </w:p>
    <w:p>
      <w:pPr>
        <w:pStyle w:val="BodyText"/>
      </w:pPr>
      <w:r>
        <w:t xml:space="preserve">Meyer, K. E., van Witteloostuijn, A., &amp; Beugelsdijk, S. (2017). What's in a p? Reassessing best practices for conducting and reporting hypothesis-testing research.</w:t>
      </w:r>
      <w:r>
        <w:t xml:space="preserve"> </w:t>
      </w:r>
      <w:r>
        <w:rPr>
          <w:iCs/>
          <w:i/>
        </w:rPr>
        <w:t xml:space="preserve">Journal of International Business Studies, 48</w:t>
      </w:r>
      <w:r>
        <w:t xml:space="preserve">(5), 535–551.</w:t>
      </w:r>
      <w:r>
        <w:t xml:space="preserve"> </w:t>
      </w:r>
      <w:hyperlink r:id="rId98">
        <w:r>
          <w:rPr>
            <w:rStyle w:val="Hyperlink"/>
          </w:rPr>
          <w:t xml:space="preserve">https://doi.org/10.1057/s41267-017-0078-8</w:t>
        </w:r>
      </w:hyperlink>
    </w:p>
    <w:p>
      <w:pPr>
        <w:pStyle w:val="BodyText"/>
      </w:pPr>
      <w:r>
        <w:t xml:space="preserve">Nambisan, S., Wright, M., &amp; Feldman, M. (2019). The digital transformation of innovation and entrepreneurship: Progress, challenges and key themes.</w:t>
      </w:r>
      <w:r>
        <w:t xml:space="preserve"> </w:t>
      </w:r>
      <w:r>
        <w:rPr>
          <w:iCs/>
          <w:i/>
        </w:rPr>
        <w:t xml:space="preserve">Research Policy, 48</w:t>
      </w:r>
      <w:r>
        <w:t xml:space="preserve">(8), 103773.</w:t>
      </w:r>
      <w:r>
        <w:t xml:space="preserve"> </w:t>
      </w:r>
      <w:hyperlink r:id="rId99">
        <w:r>
          <w:rPr>
            <w:rStyle w:val="Hyperlink"/>
          </w:rPr>
          <w:t xml:space="preserve">https://doi.org/10.1016/j.respol.2019.03.018</w:t>
        </w:r>
      </w:hyperlink>
    </w:p>
    <w:p>
      <w:pPr>
        <w:pStyle w:val="BodyText"/>
      </w:pPr>
      <w:r>
        <w:t xml:space="preserve">Niepmann, F., &amp; Schmidt-Eisenlohr, T. (2017). International trade, risk and the role of banks.</w:t>
      </w:r>
      <w:r>
        <w:t xml:space="preserve"> </w:t>
      </w:r>
      <w:r>
        <w:rPr>
          <w:iCs/>
          <w:i/>
        </w:rPr>
        <w:t xml:space="preserve">Journal of International Economics, 107</w:t>
      </w:r>
      <w:r>
        <w:t xml:space="preserve">, 111–126.</w:t>
      </w:r>
      <w:r>
        <w:t xml:space="preserve"> </w:t>
      </w:r>
      <w:hyperlink r:id="rId100">
        <w:r>
          <w:rPr>
            <w:rStyle w:val="Hyperlink"/>
          </w:rPr>
          <w:t xml:space="preserve">https://doi.org/10.1016/j.jinteco.2017.03.007</w:t>
        </w:r>
      </w:hyperlink>
    </w:p>
    <w:p>
      <w:pPr>
        <w:pStyle w:val="BodyText"/>
      </w:pPr>
      <w:r>
        <w:t xml:space="preserve">Paternoster, R., Brame, R., Mazerolle, P., &amp; Piquero, A. (1998). Using the correct statistical test for the equality of regression coefficients.</w:t>
      </w:r>
      <w:r>
        <w:t xml:space="preserve"> </w:t>
      </w:r>
      <w:r>
        <w:rPr>
          <w:iCs/>
          <w:i/>
        </w:rPr>
        <w:t xml:space="preserve">Criminology, 36</w:t>
      </w:r>
      <w:r>
        <w:t xml:space="preserve">(4), 859–866.</w:t>
      </w:r>
      <w:r>
        <w:t xml:space="preserve"> </w:t>
      </w:r>
      <w:hyperlink r:id="rId101">
        <w:r>
          <w:rPr>
            <w:rStyle w:val="Hyperlink"/>
          </w:rPr>
          <w:t xml:space="preserve">https://doi.org/10.1111/j.1745-9125.1998.tb01268.x</w:t>
        </w:r>
      </w:hyperlink>
    </w:p>
    <w:p>
      <w:pPr>
        <w:pStyle w:val="BodyText"/>
      </w:pPr>
      <w:r>
        <w:t xml:space="preserve">Pierce, J. R., &amp; Aguinis, H. (2013). The too-much-of-a-good-thing effect in management.</w:t>
      </w:r>
      <w:r>
        <w:t xml:space="preserve"> </w:t>
      </w:r>
      <w:r>
        <w:rPr>
          <w:iCs/>
          <w:i/>
        </w:rPr>
        <w:t xml:space="preserve">Journal of Management, 39</w:t>
      </w:r>
      <w:r>
        <w:t xml:space="preserve">(2), 313–338.</w:t>
      </w:r>
      <w:r>
        <w:t xml:space="preserve"> </w:t>
      </w:r>
      <w:hyperlink r:id="rId102">
        <w:r>
          <w:rPr>
            <w:rStyle w:val="Hyperlink"/>
          </w:rPr>
          <w:t xml:space="preserve">https://doi.org/10.1177/0149206311410060</w:t>
        </w:r>
      </w:hyperlink>
    </w:p>
    <w:p>
      <w:pPr>
        <w:pStyle w:val="BodyText"/>
      </w:pPr>
      <w:r>
        <w:t xml:space="preserve">Schwens, C., Zapkau, F. B., Bierwerth, M., Isidor, R., Knight, G., &amp; Kabst, R. (2018). International entrepreneurship: A meta-analysis on the internationalization and performance relationship.</w:t>
      </w:r>
      <w:r>
        <w:t xml:space="preserve"> </w:t>
      </w:r>
      <w:r>
        <w:rPr>
          <w:iCs/>
          <w:i/>
        </w:rPr>
        <w:t xml:space="preserve">Entrepreneurship Theory and Practice, 42</w:t>
      </w:r>
      <w:r>
        <w:t xml:space="preserve">(5), 734–768.</w:t>
      </w:r>
      <w:r>
        <w:t xml:space="preserve"> </w:t>
      </w:r>
      <w:hyperlink r:id="rId103">
        <w:r>
          <w:rPr>
            <w:rStyle w:val="Hyperlink"/>
          </w:rPr>
          <w:t xml:space="preserve">https://doi.org/10.1177/1042258718795346</w:t>
        </w:r>
      </w:hyperlink>
    </w:p>
    <w:p>
      <w:pPr>
        <w:pStyle w:val="BodyText"/>
      </w:pPr>
      <w:r>
        <w:t xml:space="preserve">Shaver, J. M. (2020). Causal identification through a cumulative body of research in the study of strategy and organizations.</w:t>
      </w:r>
      <w:r>
        <w:t xml:space="preserve"> </w:t>
      </w:r>
      <w:r>
        <w:rPr>
          <w:iCs/>
          <w:i/>
        </w:rPr>
        <w:t xml:space="preserve">Journal of Management, 46</w:t>
      </w:r>
      <w:r>
        <w:t xml:space="preserve">(7), 1244–1256.</w:t>
      </w:r>
      <w:r>
        <w:t xml:space="preserve"> </w:t>
      </w:r>
      <w:hyperlink r:id="rId104">
        <w:r>
          <w:rPr>
            <w:rStyle w:val="Hyperlink"/>
          </w:rPr>
          <w:t xml:space="preserve">https://doi.org/10.1177/0149206319846272</w:t>
        </w:r>
      </w:hyperlink>
    </w:p>
    <w:p>
      <w:pPr>
        <w:pStyle w:val="BodyText"/>
      </w:pPr>
      <w:r>
        <w:t xml:space="preserve">Teece, D. J. (2007). Explicating dynamic capabilities: The nature and microfoundations of (sustainable) enterprise performance.</w:t>
      </w:r>
      <w:r>
        <w:t xml:space="preserve"> </w:t>
      </w:r>
      <w:r>
        <w:rPr>
          <w:iCs/>
          <w:i/>
        </w:rPr>
        <w:t xml:space="preserve">Strategic Management Journal, 28</w:t>
      </w:r>
      <w:r>
        <w:t xml:space="preserve">(13), 1319–1350.</w:t>
      </w:r>
      <w:r>
        <w:t xml:space="preserve"> </w:t>
      </w:r>
      <w:hyperlink r:id="rId105">
        <w:r>
          <w:rPr>
            <w:rStyle w:val="Hyperlink"/>
          </w:rPr>
          <w:t xml:space="preserve">https://doi.org/10.1002/smj.640</w:t>
        </w:r>
      </w:hyperlink>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w:t>
      </w:r>
      <w:r>
        <w:t xml:space="preserve"> </w:t>
      </w:r>
      <w:hyperlink r:id="rId106">
        <w:r>
          <w:rPr>
            <w:rStyle w:val="Hyperlink"/>
          </w:rPr>
          <w:t xml:space="preserve">https://doi.org/10.1016/j.jbusres.2019.09.022</w:t>
        </w:r>
      </w:hyperlink>
    </w:p>
    <w:p>
      <w:pPr>
        <w:pStyle w:val="BodyText"/>
      </w:pPr>
      <w:r>
        <w:t xml:space="preserve">Vial, G. (2019). Understanding digital transformation: A review and a research agenda.</w:t>
      </w:r>
      <w:r>
        <w:t xml:space="preserve"> </w:t>
      </w:r>
      <w:r>
        <w:rPr>
          <w:iCs/>
          <w:i/>
        </w:rPr>
        <w:t xml:space="preserve">The Journal of Strategic Information Systems, 28</w:t>
      </w:r>
      <w:r>
        <w:t xml:space="preserve">(2), 118–144.</w:t>
      </w:r>
      <w:r>
        <w:t xml:space="preserve"> </w:t>
      </w:r>
      <w:hyperlink r:id="rId107">
        <w:r>
          <w:rPr>
            <w:rStyle w:val="Hyperlink"/>
          </w:rPr>
          <w:t xml:space="preserve">https://doi.org/10.1016/j.jsis.2019.01.003</w:t>
        </w:r>
      </w:hyperlink>
    </w:p>
    <w:p>
      <w:pPr>
        <w:pStyle w:val="BodyText"/>
      </w:pPr>
      <w:r>
        <w:t xml:space="preserve">Volberda, H. W., Khanagha, S., Baden-Fuller, C., Mihalache, O. R., &amp; Birkinshaw, J. (2021). Strategizing in a digital world: Overcoming cognitive barriers, reconfiguring routines and introducing new organizational forms.</w:t>
      </w:r>
      <w:r>
        <w:t xml:space="preserve"> </w:t>
      </w:r>
      <w:r>
        <w:rPr>
          <w:iCs/>
          <w:i/>
        </w:rPr>
        <w:t xml:space="preserve">Long Range Planning, 54</w:t>
      </w:r>
      <w:r>
        <w:t xml:space="preserve">(5), 102110.</w:t>
      </w:r>
      <w:r>
        <w:t xml:space="preserve"> </w:t>
      </w:r>
      <w:hyperlink r:id="rId108">
        <w:r>
          <w:rPr>
            <w:rStyle w:val="Hyperlink"/>
          </w:rPr>
          <w:t xml:space="preserve">https://doi.org/10.1016/j.lrp.2021.102110</w:t>
        </w:r>
      </w:hyperlink>
    </w:p>
    <w:p>
      <w:pPr>
        <w:pStyle w:val="BodyText"/>
      </w:pPr>
      <w:r>
        <w:t xml:space="preserve">Wagner, J. (2007). Exports and productivity: A survey of the evidence from firm-level data.</w:t>
      </w:r>
      <w:r>
        <w:t xml:space="preserve"> </w:t>
      </w:r>
      <w:r>
        <w:rPr>
          <w:iCs/>
          <w:i/>
        </w:rPr>
        <w:t xml:space="preserve">The World Economy, 30</w:t>
      </w:r>
      <w:r>
        <w:t xml:space="preserve">(1), 60–82.</w:t>
      </w:r>
      <w:r>
        <w:t xml:space="preserve"> </w:t>
      </w:r>
      <w:hyperlink r:id="rId109">
        <w:r>
          <w:rPr>
            <w:rStyle w:val="Hyperlink"/>
          </w:rPr>
          <w:t xml:space="preserve">https://doi.org/10.1111/j.1467-9701.2007.00872.x</w:t>
        </w:r>
      </w:hyperlink>
    </w:p>
    <w:p>
      <w:pPr>
        <w:pStyle w:val="BodyText"/>
      </w:pPr>
      <w:r>
        <w:t xml:space="preserve">World Bank. (2013).</w:t>
      </w:r>
      <w:r>
        <w:t xml:space="preserve"> </w:t>
      </w:r>
      <w:r>
        <w:rPr>
          <w:iCs/>
          <w:i/>
        </w:rPr>
        <w:t xml:space="preserve">China Enterprise Survey 2012</w:t>
      </w:r>
      <w:r>
        <w:t xml:space="preserve"> </w:t>
      </w:r>
      <w:r>
        <w:t xml:space="preserve">[Data file]. World Bank Enterprise Surveys.</w:t>
      </w:r>
      <w:r>
        <w:t xml:space="preserve"> </w:t>
      </w:r>
      <w:hyperlink r:id="rId69">
        <w:r>
          <w:rPr>
            <w:rStyle w:val="Hyperlink"/>
          </w:rPr>
          <w:t xml:space="preserve">https://www.enterprisesurveys.org</w:t>
        </w:r>
      </w:hyperlink>
    </w:p>
    <w:p>
      <w:pPr>
        <w:pStyle w:val="BodyText"/>
      </w:pPr>
      <w:r>
        <w:t xml:space="preserve">World Bank. (2025).</w:t>
      </w:r>
      <w:r>
        <w:t xml:space="preserve"> </w:t>
      </w:r>
      <w:r>
        <w:rPr>
          <w:iCs/>
          <w:i/>
        </w:rPr>
        <w:t xml:space="preserve">China Enterprise Survey 2024</w:t>
      </w:r>
      <w:r>
        <w:t xml:space="preserve"> </w:t>
      </w:r>
      <w:r>
        <w:t xml:space="preserve">[Data file]. World Bank Enterprise Surveys.</w:t>
      </w:r>
      <w:r>
        <w:t xml:space="preserve"> </w:t>
      </w:r>
      <w:hyperlink r:id="rId69">
        <w:r>
          <w:rPr>
            <w:rStyle w:val="Hyperlink"/>
          </w:rPr>
          <w:t xml:space="preserve">https://www.enterprisesurveys.org</w:t>
        </w:r>
      </w:hyperlink>
    </w:p>
    <w:p>
      <w:pPr>
        <w:pStyle w:val="BodyText"/>
      </w:pPr>
      <w:r>
        <w:t xml:space="preserve">Xiao, S. S., Jeong, I., Moon, J. J., Chung, C. C., &amp; Chung, J. (2013). Internationalization and performance of firms in China: Moderating effects of governance structure and the degree of centralized control.</w:t>
      </w:r>
      <w:r>
        <w:t xml:space="preserve"> </w:t>
      </w:r>
      <w:r>
        <w:rPr>
          <w:iCs/>
          <w:i/>
        </w:rPr>
        <w:t xml:space="preserve">Journal of International Management, 19</w:t>
      </w:r>
      <w:r>
        <w:t xml:space="preserve">(2), 118–137.</w:t>
      </w:r>
      <w:r>
        <w:t xml:space="preserve"> </w:t>
      </w:r>
      <w:hyperlink r:id="rId110">
        <w:r>
          <w:rPr>
            <w:rStyle w:val="Hyperlink"/>
          </w:rPr>
          <w:t xml:space="preserve">https://doi.org/10.1016/j.intman.2012.12.003</w:t>
        </w:r>
      </w:hyperlink>
    </w:p>
    <w:p>
      <w:r>
        <w:pict>
          <v:rect style="width:0;height:1.5pt" o:hralign="center" o:hrstd="t" o:hr="t"/>
        </w:pict>
      </w:r>
    </w:p>
    <w:p>
      <w:pPr>
        <w:pStyle w:val="FirstParagraph"/>
      </w:pPr>
      <w:r>
        <w:rPr>
          <w:iCs/>
          <w:i/>
        </w:rPr>
        <w:t xml:space="preserve">Replication package: see</w:t>
      </w:r>
      <w:r>
        <w:rPr>
          <w:iCs/>
          <w:i/>
        </w:rPr>
        <w:t xml:space="preserve"> </w:t>
      </w:r>
      <w:r>
        <w:rPr>
          <w:rStyle w:val="VerbatimChar"/>
          <w:iCs/>
          <w:i/>
        </w:rPr>
        <w:t xml:space="preserve">p5-china/</w:t>
      </w:r>
      <w:r>
        <w:rPr>
          <w:iCs/>
          <w:i/>
        </w:rPr>
        <w:t xml:space="preserve"> </w:t>
      </w:r>
      <w:r>
        <w:rPr>
          <w:iCs/>
          <w:i/>
        </w:rPr>
        <w:t xml:space="preserve">directory in the corresponding author's repository (handle withheld for blind review), including</w:t>
      </w:r>
      <w:r>
        <w:rPr>
          <w:iCs/>
          <w:i/>
        </w:rPr>
        <w:t xml:space="preserve"> </w:t>
      </w:r>
      <w:r>
        <w:rPr>
          <w:rStyle w:val="VerbatimChar"/>
          <w:iCs/>
          <w:i/>
        </w:rPr>
        <w:t xml:space="preserve">do/</w:t>
      </w:r>
      <w:r>
        <w:rPr>
          <w:iCs/>
          <w:i/>
        </w:rPr>
        <w:t xml:space="preserve">,</w:t>
      </w:r>
      <w:r>
        <w:rPr>
          <w:iCs/>
          <w:i/>
        </w:rPr>
        <w:t xml:space="preserve"> </w:t>
      </w:r>
      <w:r>
        <w:rPr>
          <w:rStyle w:val="VerbatimChar"/>
          <w:iCs/>
          <w:i/>
        </w:rPr>
        <w:t xml:space="preserve">python/</w:t>
      </w:r>
      <w:r>
        <w:rPr>
          <w:iCs/>
          <w:i/>
        </w:rPr>
        <w:t xml:space="preserve">,</w:t>
      </w:r>
      <w:r>
        <w:rPr>
          <w:iCs/>
          <w:i/>
        </w:rPr>
        <w:t xml:space="preserve"> </w:t>
      </w:r>
      <w:r>
        <w:rPr>
          <w:rStyle w:val="VerbatimChar"/>
          <w:iCs/>
          <w:i/>
        </w:rPr>
        <w:t xml:space="preserve">audit/</w:t>
      </w:r>
      <w:r>
        <w:rPr>
          <w:iCs/>
          <w:i/>
        </w:rPr>
        <w:t xml:space="preserve">,</w:t>
      </w:r>
      <w:r>
        <w:rPr>
          <w:iCs/>
          <w:i/>
        </w:rPr>
        <w:t xml:space="preserve"> </w:t>
      </w:r>
      <w:r>
        <w:rPr>
          <w:rStyle w:val="VerbatimChar"/>
          <w:iCs/>
          <w:i/>
        </w:rPr>
        <w:t xml:space="preserve">results/</w:t>
      </w:r>
      <w:r>
        <w:rPr>
          <w:iCs/>
          <w:i/>
        </w:rPr>
        <w:t xml:space="preserve">, and</w:t>
      </w:r>
      <w:r>
        <w:rPr>
          <w:iCs/>
          <w:i/>
        </w:rPr>
        <w:t xml:space="preserve"> </w:t>
      </w:r>
      <w:r>
        <w:rPr>
          <w:rStyle w:val="VerbatimChar"/>
          <w:iCs/>
          <w:i/>
        </w:rPr>
        <w:t xml:space="preserve">ijoem/</w:t>
      </w:r>
      <w:r>
        <w:rPr>
          <w:iCs/>
          <w:i/>
        </w:rPr>
        <w:t xml:space="preserve"> </w:t>
      </w:r>
      <w:r>
        <w:rPr>
          <w:iCs/>
          <w:i/>
        </w:rPr>
        <w:t xml:space="preserve">subfolders. The complete v1.8 manuscript is assembled from the section parts (</w:t>
      </w:r>
      <w:r>
        <w:rPr>
          <w:rStyle w:val="VerbatimChar"/>
          <w:iCs/>
          <w:i/>
        </w:rPr>
        <w:t xml:space="preserve">ijoem/manuscript_v1_8_blinded_part{1,2,3,4,5,6,7}_*.md</w:t>
      </w:r>
      <w:r>
        <w:rPr>
          <w:iCs/>
          <w:i/>
        </w:rPr>
        <w:t xml:space="preserve">) per the build script</w:t>
      </w:r>
      <w:r>
        <w:rPr>
          <w:iCs/>
          <w:i/>
        </w:rPr>
        <w:t xml:space="preserve"> </w:t>
      </w:r>
      <w:r>
        <w:rPr>
          <w:rStyle w:val="VerbatimChar"/>
          <w:iCs/>
          <w:i/>
        </w:rPr>
        <w:t xml:space="preserve">ijoem/build_docx.sh</w:t>
      </w:r>
      <w:r>
        <w:rPr>
          <w:iCs/>
          <w:i/>
        </w:rPr>
        <w:t xml:space="preserve">. Full replication code (Stata + Python), audit tables, M0–M8 coefficients, three-way moderation results, citation verification (</w:t>
      </w:r>
      <w:r>
        <w:rPr>
          <w:rStyle w:val="VerbatimChar"/>
          <w:iCs/>
          <w:i/>
        </w:rPr>
        <w:t xml:space="preserve">ijoem/CITATION_AUDIT.md</w:t>
      </w:r>
      <w:r>
        <w:rPr>
          <w:iCs/>
          <w:i/>
        </w:rPr>
        <w:t xml:space="preserve">), and figure-rendering scripts are documented in the repository README.</w:t>
      </w:r>
    </w:p>
    <w:bookmarkEnd w:id="111"/>
    <w:bookmarkEnd w:id="112"/>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hyperlink" Id="rId65" Target="http://www.enterprisesurveys.org" TargetMode="External" /><Relationship Type="http://schemas.openxmlformats.org/officeDocument/2006/relationships/hyperlink" Id="rId86" Target="https://doi.org/10.1002/smj.2399" TargetMode="External" /><Relationship Type="http://schemas.openxmlformats.org/officeDocument/2006/relationships/hyperlink" Id="rId105" Target="https://doi.org/10.1002/smj.640" TargetMode="External" /><Relationship Type="http://schemas.openxmlformats.org/officeDocument/2006/relationships/hyperlink" Id="rId74" Target="https://doi.org/10.1007/s11575-007-0019-z" TargetMode="External" /><Relationship Type="http://schemas.openxmlformats.org/officeDocument/2006/relationships/hyperlink" Id="rId88" Target="https://doi.org/10.1007/s11575-007-0022-4" TargetMode="External" /><Relationship Type="http://schemas.openxmlformats.org/officeDocument/2006/relationships/hyperlink" Id="rId79" Target="https://doi.org/10.1007/s11575-007-0023-3" TargetMode="External" /><Relationship Type="http://schemas.openxmlformats.org/officeDocument/2006/relationships/hyperlink" Id="rId95" Target="https://doi.org/10.1016/0304-4076(85)90158-7" TargetMode="External" /><Relationship Type="http://schemas.openxmlformats.org/officeDocument/2006/relationships/hyperlink" Id="rId92" Target="https://doi.org/10.1016/0305-750X(92)90097-F" TargetMode="External" /><Relationship Type="http://schemas.openxmlformats.org/officeDocument/2006/relationships/hyperlink" Id="rId110" Target="https://doi.org/10.1016/j.intman.2012.12.003" TargetMode="External" /><Relationship Type="http://schemas.openxmlformats.org/officeDocument/2006/relationships/hyperlink" Id="rId106" Target="https://doi.org/10.1016/j.jbusres.2019.09.022" TargetMode="External" /><Relationship Type="http://schemas.openxmlformats.org/officeDocument/2006/relationships/hyperlink" Id="rId100" Target="https://doi.org/10.1016/j.jinteco.2017.03.007" TargetMode="External" /><Relationship Type="http://schemas.openxmlformats.org/officeDocument/2006/relationships/hyperlink" Id="rId81" Target="https://doi.org/10.1016/j.jinteco.2018.01.008" TargetMode="External" /><Relationship Type="http://schemas.openxmlformats.org/officeDocument/2006/relationships/hyperlink" Id="rId107" Target="https://doi.org/10.1016/j.jsis.2019.01.003" TargetMode="External" /><Relationship Type="http://schemas.openxmlformats.org/officeDocument/2006/relationships/hyperlink" Id="rId77" Target="https://doi.org/10.1016/j.jwb.2010.10.022" TargetMode="External" /><Relationship Type="http://schemas.openxmlformats.org/officeDocument/2006/relationships/hyperlink" Id="rId72" Target="https://doi.org/10.1016/j.leaqua.2010.10.010" TargetMode="External" /><Relationship Type="http://schemas.openxmlformats.org/officeDocument/2006/relationships/hyperlink" Id="rId108" Target="https://doi.org/10.1016/j.lrp.2021.102110" TargetMode="External" /><Relationship Type="http://schemas.openxmlformats.org/officeDocument/2006/relationships/hyperlink" Id="rId99" Target="https://doi.org/10.1016/j.respol.2019.03.018" TargetMode="External" /><Relationship Type="http://schemas.openxmlformats.org/officeDocument/2006/relationships/hyperlink" Id="rId80" Target="https://doi.org/10.1057/palgrave.jibs.8400003" TargetMode="External" /><Relationship Type="http://schemas.openxmlformats.org/officeDocument/2006/relationships/hyperlink" Id="rId76" Target="https://doi.org/10.1057/palgrave.jibs.8400277" TargetMode="External" /><Relationship Type="http://schemas.openxmlformats.org/officeDocument/2006/relationships/hyperlink" Id="rId98" Target="https://doi.org/10.1057/s41267-017-0078-8" TargetMode="External" /><Relationship Type="http://schemas.openxmlformats.org/officeDocument/2006/relationships/hyperlink" Id="rId90" Target="https://doi.org/10.1057/s41267-020-00304-2" TargetMode="External" /><Relationship Type="http://schemas.openxmlformats.org/officeDocument/2006/relationships/hyperlink" Id="rId82" Target="https://doi.org/10.1057/s41267-020-00374-2" TargetMode="External" /><Relationship Type="http://schemas.openxmlformats.org/officeDocument/2006/relationships/hyperlink" Id="rId73" Target="https://doi.org/10.1057/s41287-021-00364-6" TargetMode="External" /><Relationship Type="http://schemas.openxmlformats.org/officeDocument/2006/relationships/hyperlink" Id="rId83" Target="https://doi.org/10.1080/1540496X.2018.1547270" TargetMode="External" /><Relationship Type="http://schemas.openxmlformats.org/officeDocument/2006/relationships/hyperlink" Id="rId96" Target="https://doi.org/10.1093/restud/rds036" TargetMode="External" /><Relationship Type="http://schemas.openxmlformats.org/officeDocument/2006/relationships/hyperlink" Id="rId109" Target="https://doi.org/10.1111/j.1467-9701.2007.00872.x" TargetMode="External" /><Relationship Type="http://schemas.openxmlformats.org/officeDocument/2006/relationships/hyperlink" Id="rId93" Target="https://doi.org/10.1111/j.1468-0084.2009.00569.x" TargetMode="External" /><Relationship Type="http://schemas.openxmlformats.org/officeDocument/2006/relationships/hyperlink" Id="rId101" Target="https://doi.org/10.1111/j.1745-9125.1998.tb01268.x" TargetMode="External" /><Relationship Type="http://schemas.openxmlformats.org/officeDocument/2006/relationships/hyperlink" Id="rId91" Target="https://doi.org/10.1111/j.2042-5805.2012.01028.x" TargetMode="External" /><Relationship Type="http://schemas.openxmlformats.org/officeDocument/2006/relationships/hyperlink" Id="rId84" Target="https://doi.org/10.1111/joms.12526" TargetMode="External" /><Relationship Type="http://schemas.openxmlformats.org/officeDocument/2006/relationships/hyperlink" Id="rId87" Target="https://doi.org/10.1111/joms.12639" TargetMode="External" /><Relationship Type="http://schemas.openxmlformats.org/officeDocument/2006/relationships/hyperlink" Id="rId85" Target="https://doi.org/10.1146/annurev-economics-080614-115453" TargetMode="External" /><Relationship Type="http://schemas.openxmlformats.org/officeDocument/2006/relationships/hyperlink" Id="rId102" Target="https://doi.org/10.1177/0149206311410060" TargetMode="External" /><Relationship Type="http://schemas.openxmlformats.org/officeDocument/2006/relationships/hyperlink" Id="rId97" Target="https://doi.org/10.1177/0149206315624963" TargetMode="External" /><Relationship Type="http://schemas.openxmlformats.org/officeDocument/2006/relationships/hyperlink" Id="rId104" Target="https://doi.org/10.1177/0149206319846272" TargetMode="External" /><Relationship Type="http://schemas.openxmlformats.org/officeDocument/2006/relationships/hyperlink" Id="rId103" Target="https://doi.org/10.1177/1042258718795346" TargetMode="External" /><Relationship Type="http://schemas.openxmlformats.org/officeDocument/2006/relationships/hyperlink" Id="rId78" Target="https://doi.org/10.2307/2393553" TargetMode="External" /><Relationship Type="http://schemas.openxmlformats.org/officeDocument/2006/relationships/hyperlink" Id="rId75" Target="https://doi.org/10.25300/MISQ/2013/37:2.3" TargetMode="External" /><Relationship Type="http://schemas.openxmlformats.org/officeDocument/2006/relationships/hyperlink" Id="rId94" Target="https://doi.org/10.5465/20159604" TargetMode="External" /><Relationship Type="http://schemas.openxmlformats.org/officeDocument/2006/relationships/hyperlink" Id="rId89" Target="https://doi.org/10.5465/256948" TargetMode="External" /><Relationship Type="http://schemas.openxmlformats.org/officeDocument/2006/relationships/hyperlink" Id="rId69" Target="https://www.enterprisesurveys.org" TargetMode="External" /><Relationship Type="http://schemas.openxmlformats.org/officeDocument/2006/relationships/hyperlink" Id="rId32" Target="https://www.enterprisesurveys.org/en/data" TargetMode="External" /></Relationships>
</file>

<file path=word/_rels/footnotes.xml.rels><?xml version="1.0" encoding="UTF-8"?><Relationships xmlns="http://schemas.openxmlformats.org/package/2006/relationships"><Relationship Type="http://schemas.openxmlformats.org/officeDocument/2006/relationships/hyperlink" Id="rId65" Target="http://www.enterprisesurveys.org" TargetMode="External" /><Relationship Type="http://schemas.openxmlformats.org/officeDocument/2006/relationships/hyperlink" Id="rId86" Target="https://doi.org/10.1002/smj.2399" TargetMode="External" /><Relationship Type="http://schemas.openxmlformats.org/officeDocument/2006/relationships/hyperlink" Id="rId105" Target="https://doi.org/10.1002/smj.640" TargetMode="External" /><Relationship Type="http://schemas.openxmlformats.org/officeDocument/2006/relationships/hyperlink" Id="rId74" Target="https://doi.org/10.1007/s11575-007-0019-z" TargetMode="External" /><Relationship Type="http://schemas.openxmlformats.org/officeDocument/2006/relationships/hyperlink" Id="rId88" Target="https://doi.org/10.1007/s11575-007-0022-4" TargetMode="External" /><Relationship Type="http://schemas.openxmlformats.org/officeDocument/2006/relationships/hyperlink" Id="rId79" Target="https://doi.org/10.1007/s11575-007-0023-3" TargetMode="External" /><Relationship Type="http://schemas.openxmlformats.org/officeDocument/2006/relationships/hyperlink" Id="rId95" Target="https://doi.org/10.1016/0304-4076(85)90158-7" TargetMode="External" /><Relationship Type="http://schemas.openxmlformats.org/officeDocument/2006/relationships/hyperlink" Id="rId92" Target="https://doi.org/10.1016/0305-750X(92)90097-F" TargetMode="External" /><Relationship Type="http://schemas.openxmlformats.org/officeDocument/2006/relationships/hyperlink" Id="rId110" Target="https://doi.org/10.1016/j.intman.2012.12.003" TargetMode="External" /><Relationship Type="http://schemas.openxmlformats.org/officeDocument/2006/relationships/hyperlink" Id="rId106" Target="https://doi.org/10.1016/j.jbusres.2019.09.022" TargetMode="External" /><Relationship Type="http://schemas.openxmlformats.org/officeDocument/2006/relationships/hyperlink" Id="rId100" Target="https://doi.org/10.1016/j.jinteco.2017.03.007" TargetMode="External" /><Relationship Type="http://schemas.openxmlformats.org/officeDocument/2006/relationships/hyperlink" Id="rId81" Target="https://doi.org/10.1016/j.jinteco.2018.01.008" TargetMode="External" /><Relationship Type="http://schemas.openxmlformats.org/officeDocument/2006/relationships/hyperlink" Id="rId107" Target="https://doi.org/10.1016/j.jsis.2019.01.003" TargetMode="External" /><Relationship Type="http://schemas.openxmlformats.org/officeDocument/2006/relationships/hyperlink" Id="rId77" Target="https://doi.org/10.1016/j.jwb.2010.10.022" TargetMode="External" /><Relationship Type="http://schemas.openxmlformats.org/officeDocument/2006/relationships/hyperlink" Id="rId72" Target="https://doi.org/10.1016/j.leaqua.2010.10.010" TargetMode="External" /><Relationship Type="http://schemas.openxmlformats.org/officeDocument/2006/relationships/hyperlink" Id="rId108" Target="https://doi.org/10.1016/j.lrp.2021.102110" TargetMode="External" /><Relationship Type="http://schemas.openxmlformats.org/officeDocument/2006/relationships/hyperlink" Id="rId99" Target="https://doi.org/10.1016/j.respol.2019.03.018" TargetMode="External" /><Relationship Type="http://schemas.openxmlformats.org/officeDocument/2006/relationships/hyperlink" Id="rId80" Target="https://doi.org/10.1057/palgrave.jibs.8400003" TargetMode="External" /><Relationship Type="http://schemas.openxmlformats.org/officeDocument/2006/relationships/hyperlink" Id="rId76" Target="https://doi.org/10.1057/palgrave.jibs.8400277" TargetMode="External" /><Relationship Type="http://schemas.openxmlformats.org/officeDocument/2006/relationships/hyperlink" Id="rId98" Target="https://doi.org/10.1057/s41267-017-0078-8" TargetMode="External" /><Relationship Type="http://schemas.openxmlformats.org/officeDocument/2006/relationships/hyperlink" Id="rId90" Target="https://doi.org/10.1057/s41267-020-00304-2" TargetMode="External" /><Relationship Type="http://schemas.openxmlformats.org/officeDocument/2006/relationships/hyperlink" Id="rId82" Target="https://doi.org/10.1057/s41267-020-00374-2" TargetMode="External" /><Relationship Type="http://schemas.openxmlformats.org/officeDocument/2006/relationships/hyperlink" Id="rId73" Target="https://doi.org/10.1057/s41287-021-00364-6" TargetMode="External" /><Relationship Type="http://schemas.openxmlformats.org/officeDocument/2006/relationships/hyperlink" Id="rId83" Target="https://doi.org/10.1080/1540496X.2018.1547270" TargetMode="External" /><Relationship Type="http://schemas.openxmlformats.org/officeDocument/2006/relationships/hyperlink" Id="rId96" Target="https://doi.org/10.1093/restud/rds036" TargetMode="External" /><Relationship Type="http://schemas.openxmlformats.org/officeDocument/2006/relationships/hyperlink" Id="rId109" Target="https://doi.org/10.1111/j.1467-9701.2007.00872.x" TargetMode="External" /><Relationship Type="http://schemas.openxmlformats.org/officeDocument/2006/relationships/hyperlink" Id="rId93" Target="https://doi.org/10.1111/j.1468-0084.2009.00569.x" TargetMode="External" /><Relationship Type="http://schemas.openxmlformats.org/officeDocument/2006/relationships/hyperlink" Id="rId101" Target="https://doi.org/10.1111/j.1745-9125.1998.tb01268.x" TargetMode="External" /><Relationship Type="http://schemas.openxmlformats.org/officeDocument/2006/relationships/hyperlink" Id="rId91" Target="https://doi.org/10.1111/j.2042-5805.2012.01028.x" TargetMode="External" /><Relationship Type="http://schemas.openxmlformats.org/officeDocument/2006/relationships/hyperlink" Id="rId84" Target="https://doi.org/10.1111/joms.12526" TargetMode="External" /><Relationship Type="http://schemas.openxmlformats.org/officeDocument/2006/relationships/hyperlink" Id="rId87" Target="https://doi.org/10.1111/joms.12639" TargetMode="External" /><Relationship Type="http://schemas.openxmlformats.org/officeDocument/2006/relationships/hyperlink" Id="rId85" Target="https://doi.org/10.1146/annurev-economics-080614-115453" TargetMode="External" /><Relationship Type="http://schemas.openxmlformats.org/officeDocument/2006/relationships/hyperlink" Id="rId102" Target="https://doi.org/10.1177/0149206311410060" TargetMode="External" /><Relationship Type="http://schemas.openxmlformats.org/officeDocument/2006/relationships/hyperlink" Id="rId97" Target="https://doi.org/10.1177/0149206315624963" TargetMode="External" /><Relationship Type="http://schemas.openxmlformats.org/officeDocument/2006/relationships/hyperlink" Id="rId104" Target="https://doi.org/10.1177/0149206319846272" TargetMode="External" /><Relationship Type="http://schemas.openxmlformats.org/officeDocument/2006/relationships/hyperlink" Id="rId103" Target="https://doi.org/10.1177/1042258718795346" TargetMode="External" /><Relationship Type="http://schemas.openxmlformats.org/officeDocument/2006/relationships/hyperlink" Id="rId78" Target="https://doi.org/10.2307/2393553" TargetMode="External" /><Relationship Type="http://schemas.openxmlformats.org/officeDocument/2006/relationships/hyperlink" Id="rId75" Target="https://doi.org/10.25300/MISQ/2013/37:2.3" TargetMode="External" /><Relationship Type="http://schemas.openxmlformats.org/officeDocument/2006/relationships/hyperlink" Id="rId94" Target="https://doi.org/10.5465/20159604" TargetMode="External" /><Relationship Type="http://schemas.openxmlformats.org/officeDocument/2006/relationships/hyperlink" Id="rId89" Target="https://doi.org/10.5465/256948" TargetMode="External" /><Relationship Type="http://schemas.openxmlformats.org/officeDocument/2006/relationships/hyperlink" Id="rId69" Target="https://www.enterprisesurveys.org" TargetMode="External" /><Relationship Type="http://schemas.openxmlformats.org/officeDocument/2006/relationships/hyperlink" Id="rId32" Target="https://www.enterprisesurveys.org/en/dat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2026-06-02T03:23:58Z</dcterms:created>
  <dcterms:modified xsi:type="dcterms:W3CDTF">2026-06-02T03:23:58Z</dcterms:modified>
</cp:coreProperties>
</file>

<file path=docProps/custom.xml><?xml version="1.0" encoding="utf-8"?>
<Properties xmlns="http://schemas.openxmlformats.org/officeDocument/2006/custom-properties" xmlns:vt="http://schemas.openxmlformats.org/officeDocument/2006/docPropsVTypes"/>
</file>