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Purpose.</w:t>
      </w:r>
      <w:r>
        <w:t xml:space="preserve"> </w:t>
      </w:r>
      <w:r>
        <w:t xml:space="preserve">Tests whether the canonical inverted-U survives in Pacific Small Island Developing States (SIDS) and develops the Forced Internationalization Penalty (FIP) as a structural boundary condition.</w:t>
      </w:r>
    </w:p>
    <w:p>
      <w:pPr>
        <w:pStyle w:val="BodyText"/>
      </w:pPr>
      <w:r>
        <w:rPr>
          <w:bCs/>
          <w:b/>
        </w:rPr>
        <w:t xml:space="preserve">Design/methodology/approach.</w:t>
      </w:r>
      <w:r>
        <w:t xml:space="preserve"> </w:t>
      </w:r>
      <w:r>
        <w:t xml:space="preserve">WBES from 1,469 firms across nine Pacific SIDS (2009–2025; 187 exporters). Four OLS specifications: country-and-year FE; year-only FE; exporters-only; Heckman selection. Lind–Mehlum tests for quadratic curvature.</w:t>
      </w:r>
    </w:p>
    <w:p>
      <w:pPr>
        <w:pStyle w:val="BodyText"/>
      </w:pPr>
      <w:r>
        <w:rPr>
          <w:bCs/>
          <w:b/>
        </w:rPr>
        <w:t xml:space="preserve">Findings.</w:t>
      </w:r>
      <w:r>
        <w:t xml:space="preserve"> </w:t>
      </w:r>
      <w:r>
        <w:t xml:space="preserve">Internationalisation is robustly negatively associated with productivity (</w:t>
      </w:r>
      <m:oMath>
        <m:r>
          <m:t>β</m:t>
        </m:r>
      </m:oMath>
      <w:r>
        <w:t xml:space="preserve"> </w:t>
      </w:r>
      <w:r>
        <w:t xml:space="preserve">= −0.404, p = .032; −1.236, p &lt; .001; −0.901, p = .027 across specifications). Quadratic FSTS null in every specification — no turning point. TCI and DAI moderators null. The three structural prerequisites (viable home market, manageable trade costs, functional institutions) are simultaneously absent.</w:t>
      </w:r>
    </w:p>
    <w:p>
      <w:pPr>
        <w:pStyle w:val="BodyText"/>
      </w:pPr>
      <w:r>
        <w:rPr>
          <w:bCs/>
          <w:b/>
        </w:rPr>
        <w:t xml:space="preserve">Research limitations/implications.</w:t>
      </w:r>
      <w:r>
        <w:t xml:space="preserve"> </w:t>
      </w:r>
      <w:r>
        <w:t xml:space="preserve">Power constrained at 187 exporters; opens research on other extreme-developing contexts (landlocked LDCs, post-conflict economies).</w:t>
      </w:r>
    </w:p>
    <w:p>
      <w:pPr>
        <w:pStyle w:val="BodyText"/>
      </w:pPr>
      <w:r>
        <w:rPr>
          <w:bCs/>
          <w:b/>
        </w:rPr>
        <w:t xml:space="preserve">Practical implications.</w:t>
      </w:r>
      <w:r>
        <w:t xml:space="preserve"> </w:t>
      </w:r>
      <w:r>
        <w:t xml:space="preserve">Cautions against export-intensity targets in Pacific SIDS programmes; complementary structural reforms are prerequisites for positive I-P returns.</w:t>
      </w:r>
    </w:p>
    <w:p>
      <w:pPr>
        <w:pStyle w:val="BodyText"/>
      </w:pPr>
      <w:r>
        <w:rPr>
          <w:bCs/>
          <w:b/>
        </w:rPr>
        <w:t xml:space="preserve">Social implications.</w:t>
      </w:r>
      <w:r>
        <w:t xml:space="preserve"> </w:t>
      </w:r>
      <w:r>
        <w:t xml:space="preserve">Under the Antigua and Barbuda Agenda (UNGA 2024), SIDS firms cannot "internationalise their way out of" structural constraints.</w:t>
      </w:r>
    </w:p>
    <w:p>
      <w:pPr>
        <w:pStyle w:val="BodyText"/>
      </w:pPr>
      <w:r>
        <w:rPr>
          <w:bCs/>
          <w:b/>
        </w:rPr>
        <w:t xml:space="preserve">Originality/value.</w:t>
      </w:r>
      <w:r>
        <w:t xml:space="preserve"> </w:t>
      </w:r>
      <w:r>
        <w:t xml:space="preserve">First firm-level operationalisation of the SIDS macro-vulnerability framework. Shifts the debate from "institutional moderation of I-P intensity" to "institutional determination of I-P sign." Of 1,745 WBES-based IB studies, zero covered Pacific SIDS.</w:t>
      </w:r>
    </w:p>
    <w:p>
      <w:pPr>
        <w:pStyle w:val="BodyText"/>
      </w:pPr>
      <w:r>
        <w:rPr>
          <w:bCs/>
          <w:b/>
        </w:rPr>
        <w:t xml:space="preserve">Keywords:</w:t>
      </w:r>
      <w:r>
        <w:t xml:space="preserve"> </w:t>
      </w:r>
      <w:r>
        <w:t xml:space="preserve">forced internationalization; small island developing states; firm performance; institutional voids; Pacific economies; labour productivity.</w:t>
      </w:r>
    </w:p>
    <w:p>
      <w:pPr>
        <w:pStyle w:val="BodyText"/>
      </w:pPr>
      <w:r>
        <w:rPr>
          <w:bCs/>
          <w:b/>
        </w:rPr>
        <w:t xml:space="preserve">JEL classification:</w:t>
      </w:r>
      <w:r>
        <w:t xml:space="preserve"> </w:t>
      </w:r>
      <w:r>
        <w:t xml:space="preserve">F23 (multinational firms; international business); O17 (formal and informal sectors; shadow economy; institutional arrangements); O56 (economywide country studies: Oceania); D22 (firm behaviour: empirical analysis); F14 (empirical studies of trade).</w:t>
      </w:r>
    </w:p>
    <w:p>
      <w:pPr>
        <w:pStyle w:val="BodyText"/>
      </w:pPr>
      <w:r>
        <w:rPr>
          <w:bCs/>
          <w:b/>
        </w:rPr>
        <w:t xml:space="preserve">Paper type:</w:t>
      </w:r>
      <w:r>
        <w:t xml:space="preserve"> </w:t>
      </w:r>
      <w:r>
        <w:t xml:space="preserve">Research paper.</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our contribution is the firm-level operationalization, the FIP label that connects those macro constraints to the sign of the FSTS coefficient in I-P regressions, and the demonstration that this firm-level signature is recoverable in WBES data. We distinguish FIP from adjacent firm-level concepts including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X88086f89d30295b73ade34a6a6d72f6030bebeb"/>
    <w:p>
      <w:pPr>
        <w:pStyle w:val="Heading2"/>
      </w:pPr>
      <w:r>
        <w:t xml:space="preserve">2. Theoretical Background and Hypotheses</w:t>
      </w:r>
    </w:p>
    <w:bookmarkStart w:id="23"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X5eb800a903106e48a684e9ea9de39ed619b9df8"/>
    <w:p>
      <w:pPr>
        <w:pStyle w:val="Heading2"/>
      </w:pPr>
      <w:r>
        <w:t xml:space="preserve">3. Data and Methods</w:t>
      </w:r>
    </w:p>
    <w:bookmarkStart w:id="28"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X121719332867ee227f0a04b486098cee978c6e6"/>
    <w:p>
      <w:pPr>
        <w:pStyle w:val="Heading2"/>
      </w:pPr>
      <w:r>
        <w:t xml:space="preserve">4. Results</w:t>
      </w:r>
    </w:p>
    <w:bookmarkStart w:id="32"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 .052); foreign ownership shows a marginally negative association (</w:t>
      </w:r>
      <m:oMath>
        <m:r>
          <m:t>β</m:t>
        </m:r>
      </m:oMath>
      <w:r>
        <w:t xml:space="preserve"> </w:t>
      </w:r>
      <w:r>
        <w:t xml:space="preserve">= −0.006, p = .056), perhaps reflecting thin foreign investment efficiency in SIDS contexts; firm size is positive but non-significant (</w:t>
      </w:r>
      <m:oMath>
        <m:r>
          <m:t>β</m:t>
        </m:r>
      </m:oMath>
      <w:r>
        <w:t xml:space="preserve"> </w:t>
      </w:r>
      <w:r>
        <w:t xml:space="preserve">= +0.082, p = .242).</w:t>
      </w:r>
    </w:p>
    <w:bookmarkEnd w:id="33"/>
    <w:bookmarkStart w:id="34"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our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 .265 (n.s.)</w:t>
      </w:r>
      <w:r>
        <w:t xml:space="preserve"> </w:t>
      </w:r>
      <m:oMath>
        <m:r>
          <m:t>β</m:t>
        </m:r>
      </m:oMath>
      <w:r>
        <w:t xml:space="preserve">(</w:t>
      </w:r>
      <m:oMath>
        <m:sSubSup>
          <m:e>
            <m:r>
              <m:rPr>
                <m:nor/>
                <m:sty m:val="p"/>
              </m:rPr>
              <m:t>FSTS</m:t>
            </m:r>
          </m:e>
          <m:sub>
            <m:r>
              <m:t>c</m:t>
            </m:r>
          </m:sub>
          <m:sup>
            <m:r>
              <m:t>2</m:t>
            </m:r>
          </m:sup>
        </m:sSubSup>
      </m:oMath>
      <w:r>
        <w:t xml:space="preserve">)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 .495 (n.s.)</w:t>
      </w:r>
      <w:r>
        <w:t xml:space="preserve"> </w:t>
      </w:r>
      <m:oMath>
        <m:r>
          <m:t>β</m:t>
        </m:r>
      </m:oMath>
      <w:r>
        <w:t xml:space="preserve">(</w:t>
      </w:r>
      <m:oMath>
        <m:sSub>
          <m:e>
            <m:r>
              <m:rPr>
                <m:nor/>
                <m:sty m:val="p"/>
              </m:rPr>
              <m:t>DAI</m:t>
            </m:r>
          </m:e>
          <m:sub>
            <m:r>
              <m:t>z</m:t>
            </m:r>
          </m:sub>
        </m:sSub>
      </m:oMath>
      <w:r>
        <w:t xml:space="preserve">) = +0.062, SE = 0.073, p =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 .495) and digital adoption (</w:t>
      </w:r>
      <m:oMath>
        <m:sSub>
          <m:e>
            <m:r>
              <m:rPr>
                <m:nor/>
                <m:sty m:val="p"/>
              </m:rPr>
              <m:t>DAI</m:t>
            </m:r>
          </m:e>
          <m:sub>
            <m:r>
              <m:t>z</m:t>
            </m:r>
          </m:sub>
        </m:sSub>
      </m:oMath>
      <w:r>
        <w:t xml:space="preserve">:</w:t>
      </w:r>
      <w:r>
        <w:t xml:space="preserve"> </w:t>
      </w:r>
      <m:oMath>
        <m:r>
          <m:t>β</m:t>
        </m:r>
      </m:oMath>
      <w:r>
        <w:t xml:space="preserve"> </w:t>
      </w:r>
      <w:r>
        <w:t xml:space="preserve">= +0.062, SE = 0.073, p =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 .001; M_bivariate:</w:t>
      </w:r>
      <w:r>
        <w:t xml:space="preserve"> </w:t>
      </w:r>
      <m:oMath>
        <m:r>
          <m:t>β</m:t>
        </m:r>
      </m:oMath>
      <w:r>
        <w:t xml:space="preserve"> </w:t>
      </w:r>
      <w:r>
        <w:t xml:space="preserve">= −1.596, p &lt; .001; exporters-only:</w:t>
      </w:r>
      <w:r>
        <w:t xml:space="preserve"> </w:t>
      </w:r>
      <m:oMath>
        <m:r>
          <m:t>β</m:t>
        </m:r>
      </m:oMath>
      <w:r>
        <w:t xml:space="preserve"> </w:t>
      </w:r>
      <w:r>
        <w:t xml:space="preserve">= −0.901, p = .027); and (iv) null capability moderation (M3:</w:t>
      </w:r>
      <w:r>
        <w:t xml:space="preserve"> </w:t>
      </w:r>
      <m:oMath>
        <m:sSub>
          <m:e>
            <m:r>
              <m:rPr>
                <m:nor/>
                <m:sty m:val="p"/>
              </m:rPr>
              <m:t>TCI</m:t>
            </m:r>
          </m:e>
          <m:sub>
            <m:r>
              <m:t>z</m:t>
            </m:r>
          </m:sub>
        </m:sSub>
      </m:oMath>
      <w:r>
        <w:t xml:space="preserve"> </w:t>
      </w:r>
      <w:r>
        <w:t xml:space="preserve">p = .495;</w:t>
      </w:r>
      <w:r>
        <w:t xml:space="preserve"> </w:t>
      </w:r>
      <m:oMath>
        <m:sSub>
          <m:e>
            <m:r>
              <m:rPr>
                <m:nor/>
                <m:sty m:val="p"/>
              </m:rPr>
              <m:t>DAI</m:t>
            </m:r>
          </m:e>
          <m:sub>
            <m:r>
              <m:t>z</m:t>
            </m:r>
          </m:sub>
        </m:sSub>
      </m:oMath>
      <w:r>
        <w:t xml:space="preserve"> </w:t>
      </w:r>
      <w:r>
        <w:t xml:space="preserve">p = .402).</w:t>
      </w:r>
    </w:p>
    <w:p>
      <w:r>
        <w:pict>
          <v:rect style="width:0;height:1.5pt" o:hralign="center" o:hrstd="t" o:hr="t"/>
        </w:pict>
      </w:r>
    </w:p>
    <w:bookmarkEnd w:id="37"/>
    <w:bookmarkEnd w:id="38"/>
    <w:bookmarkStart w:id="44" w:name="X735612638e4e736e4693e459c258977262c0dfc"/>
    <w:p>
      <w:pPr>
        <w:pStyle w:val="Heading2"/>
      </w:pPr>
      <w:r>
        <w:t xml:space="preserve">5. Discussion</w:t>
      </w:r>
    </w:p>
    <w:bookmarkStart w:id="39"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a30c3062e38861be110fa8b68be2e42e1dcb57"/>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3"/>
    <w:bookmarkEnd w:id="44"/>
    <w:bookmarkStart w:id="45"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w:t>
      </w:r>
      <m:oMath>
        <m:r>
          <m:t>β</m:t>
        </m:r>
      </m:oMath>
      <w:r>
        <w:t xml:space="preserve"> </w:t>
      </w:r>
      <w:r>
        <w:t xml:space="preserve">= −0.404, p = .032 in the primary country-and-year fixed-effects model;</w:t>
      </w:r>
      <w:r>
        <w:t xml:space="preserve"> </w:t>
      </w:r>
      <m:oMath>
        <m:r>
          <m:t>β</m:t>
        </m:r>
      </m:oMath>
      <w:r>
        <w:t xml:space="preserve"> </w:t>
      </w:r>
      <w:r>
        <w:t xml:space="preserve">= −1.236, p &lt; .001 without country fixed effects;</w:t>
      </w:r>
      <w:r>
        <w:t xml:space="preserve"> </w:t>
      </w:r>
      <m:oMath>
        <m:r>
          <m:t>β</m:t>
        </m:r>
      </m:oMath>
      <w:r>
        <w:t xml:space="preserve"> </w:t>
      </w:r>
      <w:r>
        <w:t xml:space="preserve">=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7" w:name="acknowledgements"/>
    <w:p>
      <w:pPr>
        <w:pStyle w:val="Heading2"/>
      </w:pPr>
      <w:r>
        <w:t xml:space="preserve">Acknowledgements</w:t>
      </w:r>
    </w:p>
    <w:p>
      <w:pPr>
        <w:pStyle w:val="FirstParagraph"/>
      </w:pPr>
      <w:r>
        <w:t xml:space="preserve">Source: World Bank Enterprise Surveys (WBES),</w:t>
      </w:r>
      <w:r>
        <w:t xml:space="preserve"> </w:t>
      </w:r>
      <w:hyperlink r:id="rId46">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7"/>
    <w:bookmarkStart w:id="48"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8"/>
    <w:bookmarkStart w:id="49"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9"/>
    <w:bookmarkStart w:id="50"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 original draft.</w:t>
      </w:r>
      <w:r>
        <w:t xml:space="preserve"> </w:t>
      </w:r>
      <w:r>
        <w:rPr>
          <w:iCs/>
          <w:i/>
        </w:rPr>
        <w:t xml:space="preserve">Author 2:</w:t>
      </w:r>
      <w:r>
        <w:t xml:space="preserve"> </w:t>
      </w:r>
      <w:r>
        <w:t xml:space="preserve">Conceptualization, Methodology, Writing — review &amp; editing, Supervision. (Full author identities provided in separate Title Page; CRediT terms per Brand et al., 2015.)</w:t>
      </w:r>
    </w:p>
    <w:bookmarkEnd w:id="50"/>
    <w:bookmarkStart w:id="51"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1"/>
    <w:bookmarkStart w:id="53" w:name="data-availability-statement"/>
    <w:p>
      <w:pPr>
        <w:pStyle w:val="Heading2"/>
      </w:pPr>
      <w:r>
        <w:t xml:space="preserve">Data Availability Statement</w:t>
      </w:r>
    </w:p>
    <w:p>
      <w:pPr>
        <w:pStyle w:val="FirstParagraph"/>
      </w:pPr>
      <w:r>
        <w:t xml:space="preserve">The World Bank Enterprise Survey microdata used in this study are publicly available at</w:t>
      </w:r>
      <w:r>
        <w:t xml:space="preserve"> </w:t>
      </w:r>
      <w:hyperlink r:id="rId52">
        <w:r>
          <w:rPr>
            <w:rStyle w:val="Hyperlink"/>
          </w:rPr>
          <w:t xml:space="preserve">https://www.enterprisesurveys.org</w:t>
        </w:r>
      </w:hyperlink>
      <w:r>
        <w:t xml:space="preserve"> </w:t>
      </w:r>
      <w:r>
        <w:t xml:space="preserve">(accessed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3"/>
    <w:bookmarkStart w:id="57"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4">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5">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7"/>
    <w:bookmarkStart w:id="61" w:name="appendix-a-tables"/>
    <w:p>
      <w:pPr>
        <w:pStyle w:val="Heading2"/>
      </w:pPr>
      <w:r>
        <w:t xml:space="preserve">Appendix A: Tables</w:t>
      </w:r>
    </w:p>
    <w:bookmarkStart w:id="58"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8"/>
    <w:bookmarkStart w:id="59"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 .032 (M1).</w:t>
      </w:r>
    </w:p>
    <w:bookmarkEnd w:id="59"/>
    <w:bookmarkStart w:id="60"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60"/>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2026-06-02T03:26:28Z</dcterms:created>
  <dcterms:modified xsi:type="dcterms:W3CDTF">2026-06-02T03:26:28Z</dcterms:modified>
</cp:coreProperties>
</file>

<file path=docProps/custom.xml><?xml version="1.0" encoding="utf-8"?>
<Properties xmlns="http://schemas.openxmlformats.org/officeDocument/2006/custom-properties" xmlns:vt="http://schemas.openxmlformats.org/officeDocument/2006/docPropsVTypes"/>
</file>