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7bd80911c2fb740b6c275856449c4fa890df909"/>
    <w:p>
      <w:pPr>
        <w:pStyle w:val="Heading1"/>
      </w:pPr>
      <w:r>
        <w:t xml:space="preserve">APPENDIX A — POOLING AND HARMONISATION OF THE MULTI-COUNTRY ENTERPRISE DATASET (WBES)</w:t>
      </w:r>
    </w:p>
    <w:p>
      <w:pPr>
        <w:pStyle w:val="BlockText"/>
      </w:pPr>
      <w:r>
        <w:t xml:space="preserve">This appendix documents, with scientific justification, the procedure used to pool</w:t>
      </w:r>
      <w:r>
        <w:t xml:space="preserve"> </w:t>
      </w:r>
      <w:r>
        <w:t xml:space="preserve">and harmonise the country-year World Bank Enterprise Survey (WBES) cross-sections</w:t>
      </w:r>
      <w:r>
        <w:t xml:space="preserve"> </w:t>
      </w:r>
      <w:r>
        <w:t xml:space="preserve">into a single firm-level analytic dataset underpinning the dissertation’s</w:t>
      </w:r>
      <w:r>
        <w:t xml:space="preserve"> </w:t>
      </w:r>
      <w:r>
        <w:t xml:space="preserve">multi-context empirical analysis (notably component study P7). It is a</w:t>
      </w:r>
      <w:r>
        <w:t xml:space="preserve"> </w:t>
      </w:r>
      <w:r>
        <w:rPr>
          <w:bCs/>
          <w:b/>
        </w:rPr>
        <w:t xml:space="preserve">formal</w:t>
      </w:r>
      <w:r>
        <w:rPr>
          <w:bCs/>
          <w:b/>
        </w:rPr>
        <w:t xml:space="preserve"> </w:t>
      </w:r>
      <w:r>
        <w:rPr>
          <w:bCs/>
          <w:b/>
        </w:rPr>
        <w:t xml:space="preserve">methodological component</w:t>
      </w:r>
      <w:r>
        <w:t xml:space="preserve"> </w:t>
      </w:r>
      <w:r>
        <w:t xml:space="preserve">of the dissertation: it secures transparency,</w:t>
      </w:r>
      <w:r>
        <w:t xml:space="preserve"> </w:t>
      </w:r>
      <w:r>
        <w:t xml:space="preserve">replicability, and defensibility before the examination committee. The entire</w:t>
      </w:r>
      <w:r>
        <w:t xml:space="preserve"> </w:t>
      </w:r>
      <w:r>
        <w:t xml:space="preserve">procedure is encoded in reproducible scripts (</w:t>
      </w:r>
      <w:r>
        <w:rPr>
          <w:rStyle w:val="VerbatimChar"/>
        </w:rPr>
        <w:t xml:space="preserve">scripts/build_pooled_dataset.py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scripts/wbes_canon.py</w:t>
      </w:r>
      <w:r>
        <w:t xml:space="preserve">) with an accompanying data-flow report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data_wbes/analysis/pooled_dataflow.csv</w:t>
      </w:r>
      <w:r>
        <w:t xml:space="preserve">).</w:t>
      </w:r>
    </w:p>
    <w:bookmarkStart w:id="20" w:name="X644e11054af6d5c5c93434009a422ecb2be55b8"/>
    <w:p>
      <w:pPr>
        <w:pStyle w:val="Heading2"/>
      </w:pPr>
      <w:r>
        <w:t xml:space="preserve">A.1 Purpose and position within the research design</w:t>
      </w:r>
    </w:p>
    <w:p>
      <w:pPr>
        <w:pStyle w:val="FirstParagraph"/>
      </w:pPr>
      <w:r>
        <w:t xml:space="preserve">The dissertation tests the internationalisation–performance (I–P) relationship on a</w:t>
      </w:r>
      <w:r>
        <w:t xml:space="preserve"> </w:t>
      </w:r>
      <w:r>
        <w:t xml:space="preserve">firm sample spanning many economies and survey rounds. The data are</w:t>
      </w:r>
      <w:r>
        <w:t xml:space="preserve"> </w:t>
      </w:r>
      <w:r>
        <w:rPr>
          <w:bCs/>
          <w:b/>
        </w:rPr>
        <w:t xml:space="preserve">repeated</w:t>
      </w:r>
      <w:r>
        <w:rPr>
          <w:bCs/>
          <w:b/>
        </w:rPr>
        <w:t xml:space="preserve"> </w:t>
      </w:r>
      <w:r>
        <w:rPr>
          <w:bCs/>
          <w:b/>
        </w:rPr>
        <w:t xml:space="preserve">cross-sections</w:t>
      </w:r>
      <w:r>
        <w:t xml:space="preserve">, not a balanced panel: each WBES round draws an</w:t>
      </w:r>
      <w:r>
        <w:t xml:space="preserve"> </w:t>
      </w:r>
      <w:r>
        <w:rPr>
          <w:iCs/>
          <w:i/>
        </w:rPr>
        <w:t xml:space="preserve">independent</w:t>
      </w:r>
      <w:r>
        <w:t xml:space="preserve"> </w:t>
      </w:r>
      <w:r>
        <w:t xml:space="preserve">random</w:t>
      </w:r>
      <w:r>
        <w:t xml:space="preserve"> </w:t>
      </w:r>
      <w:r>
        <w:t xml:space="preserve">sample of firms from the economy’s frame at that time and does not track the same</w:t>
      </w:r>
      <w:r>
        <w:t xml:space="preserve"> </w:t>
      </w:r>
      <w:r>
        <w:t xml:space="preserve">firm over time (Deaton, 1985; Verbeek, 2008). This property governs the entire</w:t>
      </w:r>
      <w:r>
        <w:t xml:space="preserve"> </w:t>
      </w:r>
      <w:r>
        <w:t xml:space="preserve">pooling and identification strategy below. Appendix A complements Chapter 3 (§3.3) at</w:t>
      </w:r>
      <w:r>
        <w:t xml:space="preserve"> </w:t>
      </w:r>
      <w:r>
        <w:t xml:space="preserve">the level of operational detail: whereas §3.3 states the data source and variable</w:t>
      </w:r>
      <w:r>
        <w:t xml:space="preserve"> </w:t>
      </w:r>
      <w:r>
        <w:t xml:space="preserve">definitions, Appendix A documents every transformation from 119 raw survey files to</w:t>
      </w:r>
      <w:r>
        <w:t xml:space="preserve"> </w:t>
      </w:r>
      <w:r>
        <w:t xml:space="preserve">the final analytic sample, together with the rationale for each filtering and</w:t>
      </w:r>
      <w:r>
        <w:t xml:space="preserve"> </w:t>
      </w:r>
      <w:r>
        <w:t xml:space="preserve">harmonisation decision.</w:t>
      </w:r>
    </w:p>
    <w:bookmarkEnd w:id="20"/>
    <w:bookmarkStart w:id="21" w:name="a.2-data-source-and-unit-of-analysis"/>
    <w:p>
      <w:pPr>
        <w:pStyle w:val="Heading2"/>
      </w:pPr>
      <w:r>
        <w:t xml:space="preserve">A.2 Data source and unit of analysis</w:t>
      </w:r>
    </w:p>
    <w:p>
      <w:pPr>
        <w:pStyle w:val="FirstParagraph"/>
      </w:pPr>
      <w:r>
        <w:t xml:space="preserve">The primary data are the</w:t>
      </w:r>
      <w:r>
        <w:t xml:space="preserve"> </w:t>
      </w:r>
      <w:r>
        <w:rPr>
          <w:bCs/>
          <w:b/>
        </w:rPr>
        <w:t xml:space="preserve">World Bank Enterprise Surveys (WBES)</w:t>
      </w:r>
      <w:r>
        <w:t xml:space="preserve">, an</w:t>
      </w:r>
      <w:r>
        <w:t xml:space="preserve"> </w:t>
      </w:r>
      <w:r>
        <w:t xml:space="preserve">establishment-level firm survey administered by the World Bank Group under a</w:t>
      </w:r>
      <w:r>
        <w:t xml:space="preserve"> </w:t>
      </w:r>
      <w:r>
        <w:t xml:space="preserve">standardised global instrument using</w:t>
      </w:r>
      <w:r>
        <w:t xml:space="preserve"> </w:t>
      </w:r>
      <w:r>
        <w:rPr>
          <w:bCs/>
          <w:b/>
        </w:rPr>
        <w:t xml:space="preserve">stratified random sampling</w:t>
      </w:r>
      <w:r>
        <w:t xml:space="preserve"> </w:t>
      </w:r>
      <w:r>
        <w:t xml:space="preserve">along three</w:t>
      </w:r>
      <w:r>
        <w:t xml:space="preserve"> </w:t>
      </w:r>
      <w:r>
        <w:t xml:space="preserve">dimensions—sector (manufacturing/services by ISIC), employment size (small/medium/</w:t>
      </w:r>
      <w:r>
        <w:t xml:space="preserve"> </w:t>
      </w:r>
      <w:r>
        <w:t xml:space="preserve">large), and geographic region within each economy (World Bank Enterprise Surveys,</w:t>
      </w:r>
      <w:r>
        <w:t xml:space="preserve"> </w:t>
      </w:r>
      <w:r>
        <w:t xml:space="preserve">2025; World Bank, 2019). This stratified design ensures representativeness of each</w:t>
      </w:r>
      <w:r>
        <w:t xml:space="preserve"> </w:t>
      </w:r>
      <w:r>
        <w:t xml:space="preserve">economy’s formal, non-agricultural private sector and supports cross-country</w:t>
      </w:r>
      <w:r>
        <w:t xml:space="preserve"> </w:t>
      </w:r>
      <w:r>
        <w:t xml:space="preserve">comparison through an identical core questionnaire (Aterido et al., 2011). The unit</w:t>
      </w:r>
      <w:r>
        <w:t xml:space="preserve"> </w:t>
      </w:r>
      <w:r>
        <w:t xml:space="preserve">of analysis is the</w:t>
      </w:r>
      <w:r>
        <w:t xml:space="preserve"> </w:t>
      </w:r>
      <w:r>
        <w:rPr>
          <w:bCs/>
          <w:b/>
        </w:rPr>
        <w:t xml:space="preserve">establishment</w:t>
      </w:r>
      <w:r>
        <w:t xml:space="preserve">; the dependent, focal, and moderating variables</w:t>
      </w:r>
      <w:r>
        <w:t xml:space="preserve"> </w:t>
      </w:r>
      <w:r>
        <w:t xml:space="preserve">are all measured at this level.</w:t>
      </w:r>
    </w:p>
    <w:p>
      <w:pPr>
        <w:pStyle w:val="BodyText"/>
      </w:pPr>
      <w:r>
        <w:t xml:space="preserve">A key comparability constraint: WBES has applied a</w:t>
      </w:r>
      <w:r>
        <w:t xml:space="preserve"> </w:t>
      </w:r>
      <w:r>
        <w:rPr>
          <w:bCs/>
          <w:b/>
        </w:rPr>
        <w:t xml:space="preserve">unified global methodology only</w:t>
      </w:r>
      <w:r>
        <w:rPr>
          <w:bCs/>
          <w:b/>
        </w:rPr>
        <w:t xml:space="preserve"> </w:t>
      </w:r>
      <w:r>
        <w:rPr>
          <w:bCs/>
          <w:b/>
        </w:rPr>
        <w:t xml:space="preserve">from 2006 onward</w:t>
      </w:r>
      <w:r>
        <w:t xml:space="preserve">; earlier rounds used non-comparable instruments and sampling</w:t>
      </w:r>
      <w:r>
        <w:t xml:space="preserve"> </w:t>
      </w:r>
      <w:r>
        <w:t xml:space="preserve">frames (World Bank, 2019). The dissertation therefore restricts the data to survey</w:t>
      </w:r>
      <w:r>
        <w:t xml:space="preserve"> </w:t>
      </w:r>
      <w:r>
        <w:rPr>
          <w:bCs/>
          <w:b/>
        </w:rPr>
        <w:t xml:space="preserve">years ≥ 2006</w:t>
      </w:r>
      <w:r>
        <w:t xml:space="preserve"> </w:t>
      </w:r>
      <w:r>
        <w:t xml:space="preserve">to preserve cross-round and cross-country comparability (see A.3,</w:t>
      </w:r>
      <w:r>
        <w:t xml:space="preserve"> </w:t>
      </w:r>
      <w:r>
        <w:t xml:space="preserve">Step S1).</w:t>
      </w:r>
    </w:p>
    <w:bookmarkEnd w:id="21"/>
    <w:bookmarkStart w:id="22" w:name="X9534958c4f59cefd8f63f8247cb9521749bc644"/>
    <w:p>
      <w:pPr>
        <w:pStyle w:val="Heading2"/>
      </w:pPr>
      <w:r>
        <w:t xml:space="preserve">A.3 Six-step pooling procedure (S1–S6) and data flow</w:t>
      </w:r>
    </w:p>
    <w:p>
      <w:pPr>
        <w:pStyle w:val="FirstParagraph"/>
      </w:pPr>
      <w:r>
        <w:t xml:space="preserve">The procedure follows a PRISMA-style transparency principle for secondary data: each</w:t>
      </w:r>
      <w:r>
        <w:t xml:space="preserve"> </w:t>
      </w:r>
      <w:r>
        <w:t xml:space="preserve">step records its criterion and the surviving number of observations, enabling</w:t>
      </w:r>
      <w:r>
        <w:t xml:space="preserve"> </w:t>
      </w:r>
      <w:r>
        <w:t xml:space="preserve">reconstruction and audit (Page et al., 2021).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 (official pool)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 &amp; instrument 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standard private-firm cross-sections;</w:t>
            </w:r>
            <w:r>
              <w:t xml:space="preserve"> </w:t>
            </w:r>
            <w:r>
              <w:rPr>
                <w:bCs/>
                <w:b/>
              </w:rPr>
              <w:t xml:space="preserve">exclude</w:t>
            </w:r>
            <w:r>
              <w:t xml:space="preserve"> </w:t>
            </w:r>
            <w:r>
              <w:t xml:space="preserve">panel, Informal Sector, ISBS, ISES, Micro, and TGS follow-up surveys; keep</w:t>
            </w:r>
            <w:r>
              <w:t xml:space="preserve"> </w:t>
            </w:r>
            <w:r>
              <w:rPr>
                <w:bCs/>
                <w:b/>
              </w:rPr>
              <w:t xml:space="preserve">year ≥ 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De-duplication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survey per (economy × year)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harmonisation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heterogeneous questionnaire fields to a common schema (A.4)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Missing-code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Recode WBES non-response codes (−9</w:t>
            </w:r>
            <w:r>
              <w:t xml:space="preserve"> </w:t>
            </w:r>
            <w:r>
              <w:rPr>
                <w:iCs/>
                <w:i/>
              </w:rPr>
              <w:t xml:space="preserve">Don’t Know</w:t>
            </w:r>
            <w:r>
              <w:t xml:space="preserve">, −8</w:t>
            </w:r>
            <w:r>
              <w:t xml:space="preserve"> </w:t>
            </w:r>
            <w:r>
              <w:rPr>
                <w:iCs/>
                <w:i/>
              </w:rPr>
              <w:t xml:space="preserve">Refusal</w:t>
            </w:r>
            <w:r>
              <w:t xml:space="preserve">, −7</w:t>
            </w:r>
            <w:r>
              <w:t xml:space="preserve"> </w:t>
            </w:r>
            <w:r>
              <w:rPr>
                <w:iCs/>
                <w:i/>
              </w:rPr>
              <w:t xml:space="preserve">N/A</w:t>
            </w:r>
            <w:r>
              <w:t xml:space="preserve">) to missing; range-validate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stratification (ICRV)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regime; restrict to the</w:t>
            </w:r>
            <w:r>
              <w:t xml:space="preserve"> </w:t>
            </w:r>
            <w:r>
              <w:rPr>
                <w:bCs/>
                <w:b/>
              </w:rPr>
              <w:t xml:space="preserve">49-economy</w:t>
            </w:r>
            <w:r>
              <w:t xml:space="preserve"> </w:t>
            </w:r>
            <w:r>
              <w:t xml:space="preserve">Asia-Pacific 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 pool =</w:t>
            </w:r>
            <w:r>
              <w:t xml:space="preserve"> </w:t>
            </w:r>
            <w:r>
              <w:rPr>
                <w:bCs/>
                <w:b/>
              </w:rPr>
              <w:t xml:space="preserve">96,415</w:t>
            </w:r>
            <w:r>
              <w:t xml:space="preserve"> </w:t>
            </w:r>
            <w:r>
              <w:t xml:space="preserve">firms (52 economies) → 49-economy frame =</w:t>
            </w:r>
            <w:r>
              <w:t xml:space="preserve"> </w:t>
            </w:r>
            <w:r>
              <w:rPr>
                <w:bCs/>
                <w:b/>
              </w:rPr>
              <w:t xml:space="preserve">91,864</w:t>
            </w:r>
            <w:r>
              <w:t xml:space="preserve"> </w:t>
            </w:r>
            <w:r>
              <w:t xml:space="preserve">firms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Listwise analytic 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records missing the dependent variable or focal regressor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 sample =</w:t>
            </w:r>
            <w:r>
              <w:t xml:space="preserve"> </w:t>
            </w:r>
            <w:r>
              <w:rPr>
                <w:bCs/>
                <w:b/>
              </w:rPr>
              <w:t xml:space="preserve">91,982</w:t>
            </w:r>
            <w:r>
              <w:t xml:space="preserve">; M2 regression N =</w:t>
            </w:r>
            <w:r>
              <w:t xml:space="preserve"> </w:t>
            </w:r>
            <w:r>
              <w:rPr>
                <w:bCs/>
                <w:b/>
              </w:rPr>
              <w:t xml:space="preserve">84,910</w:t>
            </w:r>
            <w:r>
              <w:t xml:space="preserve">; full-control M5 =</w:t>
            </w:r>
            <w:r>
              <w:t xml:space="preserve"> </w:t>
            </w:r>
            <w:r>
              <w:rPr>
                <w:bCs/>
                <w:b/>
              </w:rPr>
              <w:t xml:space="preserve">38,342</w:t>
            </w:r>
          </w:p>
        </w:tc>
      </w:tr>
    </w:tbl>
    <w:p>
      <w:pPr>
        <w:pStyle w:val="BodyText"/>
      </w:pPr>
      <w:r>
        <w:rPr>
          <w:iCs/>
          <w:i/>
        </w:rPr>
        <w:t xml:space="preserve">Official counts from the dissertation’s pooled file (</w:t>
      </w:r>
      <w:r>
        <w:rPr>
          <w:rStyle w:val="VerbatimChar"/>
          <w:iCs/>
          <w:i/>
        </w:rPr>
        <w:t xml:space="preserve">data_wbes/p7/p7_pooled_clean.csv</w:t>
      </w:r>
      <w:r>
        <w:rPr>
          <w:iCs/>
          <w:i/>
        </w:rPr>
        <w:t xml:space="preserve">):</w:t>
      </w:r>
      <w:r>
        <w:rPr>
          <w:iCs/>
          <w:i/>
        </w:rPr>
        <w:t xml:space="preserve"> </w:t>
      </w:r>
      <w:r>
        <w:rPr>
          <w:iCs/>
          <w:i/>
        </w:rPr>
        <w:t xml:space="preserve">106,765 firm-year records across 17 survey rounds, 2003–2025.</w:t>
      </w:r>
    </w:p>
    <w:p>
      <w:pPr>
        <w:pStyle w:val="BodyText"/>
      </w:pPr>
      <w:r>
        <w:rPr>
          <w:bCs/>
          <w:b/>
        </w:rPr>
        <w:t xml:space="preserve">Figure A.1.</w:t>
      </w:r>
      <w:r>
        <w:t xml:space="preserve"> </w:t>
      </w:r>
      <w:r>
        <w:rPr>
          <w:iCs/>
          <w:i/>
        </w:rPr>
        <w:t xml:space="preserve">PRISMA-style WBES data-pooling flow.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A["119 WBES country-year&lt;br/&gt;survey files (raw)"] --&gt;|"S1 · keep standard cross-sections;&lt;br/&gt;drop panel/Informal/ISBS/ISES/Micro/TGS; year ≥ 2006"| B["Standard cross-sections ≥ 2006"]</w:t>
      </w:r>
      <w:r>
        <w:br/>
      </w:r>
      <w:r>
        <w:rPr>
          <w:rStyle w:val="VerbatimChar"/>
        </w:rPr>
        <w:t xml:space="preserve">    B --&gt;|"S2 · de-duplicate"| C["One survey / (economy × year)"]</w:t>
      </w:r>
      <w:r>
        <w:br/>
      </w:r>
      <w:r>
        <w:rPr>
          <w:rStyle w:val="VerbatimChar"/>
        </w:rPr>
        <w:t xml:space="preserve">    C --&gt;|"S3 · harmonise variables&lt;br/&gt;(LP, FSTS, TCI/DAI, controls)"| D["Common variable schema"]</w:t>
      </w:r>
      <w:r>
        <w:br/>
      </w:r>
      <w:r>
        <w:rPr>
          <w:rStyle w:val="VerbatimChar"/>
        </w:rPr>
        <w:t xml:space="preserve">    D --&gt;|"S4 · recode −9/−8/−7 → missing;&lt;br/&gt;range-validate"| E["106,765 firm-year records"]</w:t>
      </w:r>
      <w:r>
        <w:br/>
      </w:r>
      <w:r>
        <w:rPr>
          <w:rStyle w:val="VerbatimChar"/>
        </w:rPr>
        <w:t xml:space="preserve">    E --&gt;|"S5 · assign ICRV regime&lt;br/&gt;(WGI available)"| F["96,415 classified firms · 52 economies"]</w:t>
      </w:r>
      <w:r>
        <w:br/>
      </w:r>
      <w:r>
        <w:rPr>
          <w:rStyle w:val="VerbatimChar"/>
        </w:rPr>
        <w:t xml:space="preserve">    F --&gt;|"drop Comoros / Cyprus / Türkiye&lt;br/&gt;(outside Asia-Pacific)"| G["91,982 firms · 49 economies&lt;br/&gt;— ANALYTIC SAMPLE"]</w:t>
      </w:r>
      <w:r>
        <w:br/>
      </w:r>
      <w:r>
        <w:rPr>
          <w:rStyle w:val="VerbatimChar"/>
        </w:rPr>
        <w:t xml:space="preserve">    G --&gt;|"S6 · listwise on focal set"| H["84,910 — M2 regression N"]</w:t>
      </w:r>
      <w:r>
        <w:br/>
      </w:r>
      <w:r>
        <w:rPr>
          <w:rStyle w:val="VerbatimChar"/>
        </w:rPr>
        <w:t xml:space="preserve">    H --&gt;|"+ full controls"| I["38,342 — M5 (two-way FE)"]</w:t>
      </w:r>
    </w:p>
    <w:p>
      <w:pPr>
        <w:pStyle w:val="FirstParagraph"/>
      </w:pPr>
      <w:r>
        <w:rPr>
          <w:bCs/>
          <w:b/>
        </w:rPr>
        <w:t xml:space="preserve">Replication note.</w:t>
      </w:r>
      <w:r>
        <w:t xml:space="preserve"> </w:t>
      </w:r>
      <w:r>
        <w:t xml:space="preserve">The reproducible raw archive in the 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data_wbes/raw_dta/</w:t>
      </w:r>
      <w:r>
        <w:t xml:space="preserve">, 105 standard cross-sections ≥2006 for 49 economies, 80,523</w:t>
      </w:r>
      <w:r>
        <w:t xml:space="preserve"> </w:t>
      </w:r>
      <w:r>
        <w:t xml:space="preserve">firm-years) is a</w:t>
      </w:r>
      <w:r>
        <w:t xml:space="preserve"> </w:t>
      </w:r>
      <w:r>
        <w:rPr>
          <w:bCs/>
          <w:b/>
        </w:rPr>
        <w:t xml:space="preserve">subset</w:t>
      </w:r>
      <w:r>
        <w:t xml:space="preserve"> </w:t>
      </w:r>
      <w:r>
        <w:t xml:space="preserve">of the authors’ full assembly (some historical rounds</w:t>
      </w:r>
      <w:r>
        <w:t xml:space="preserve"> </w:t>
      </w:r>
      <w:r>
        <w:t xml:space="preserve">have not been re-uploaded).</w:t>
      </w:r>
      <w:r>
        <w:t xml:space="preserve"> </w:t>
      </w:r>
      <w:r>
        <w:rPr>
          <w:rStyle w:val="VerbatimChar"/>
        </w:rPr>
        <w:t xml:space="preserve">scripts/build_pooled_dataset.py</w:t>
      </w:r>
      <w:r>
        <w:t xml:space="preserve"> </w:t>
      </w:r>
      <w:r>
        <w:t xml:space="preserve">reproduces the S1–S6</w:t>
      </w:r>
      <w:r>
        <w:t xml:space="preserve"> </w:t>
      </w:r>
      <w:r>
        <w:rPr>
          <w:bCs/>
          <w:b/>
        </w:rPr>
        <w:t xml:space="preserve">procedure</w:t>
      </w:r>
      <w:r>
        <w:t xml:space="preserve"> </w:t>
      </w:r>
      <w:r>
        <w:t xml:space="preserve">on the available archive and emits a verification data flow; the</w:t>
      </w:r>
      <w:r>
        <w:t xml:space="preserve"> </w:t>
      </w:r>
      <w:r>
        <w:rPr>
          <w:bCs/>
          <w:b/>
        </w:rPr>
        <w:t xml:space="preserve">official, locked</w:t>
      </w:r>
      <w:r>
        <w:t xml:space="preserve"> </w:t>
      </w:r>
      <w:r>
        <w:t xml:space="preserve">sample sizes (96,415 / 91,982 / 84,910) are reported from the</w:t>
      </w:r>
      <w:r>
        <w:t xml:space="preserve"> </w:t>
      </w:r>
      <w:r>
        <w:t xml:space="preserve">master file and are the figures cited in Chapters 3–4. The gap between the two layers</w:t>
      </w:r>
      <w:r>
        <w:t xml:space="preserve"> </w:t>
      </w:r>
      <w:r>
        <w:t xml:space="preserve">is disclosed transparently for committee verification.</w:t>
      </w:r>
    </w:p>
    <w:bookmarkEnd w:id="22"/>
    <w:bookmarkStart w:id="23" w:name="a.4-variable-harmonisation-step-s3"/>
    <w:p>
      <w:pPr>
        <w:pStyle w:val="Heading2"/>
      </w:pPr>
      <w:r>
        <w:t xml:space="preserve">A.4 Variable harmonisation (Step S3)</w:t>
      </w:r>
    </w:p>
    <w:p>
      <w:pPr>
        <w:pStyle w:val="FirstParagraph"/>
      </w:pPr>
      <w:r>
        <w:t xml:space="preserve">The core challenge of multi-country pooling is</w:t>
      </w:r>
      <w:r>
        <w:t xml:space="preserve"> </w:t>
      </w:r>
      <w:r>
        <w:rPr>
          <w:bCs/>
          <w:b/>
        </w:rPr>
        <w:t xml:space="preserve">field-name and coding heterogeneity</w:t>
      </w:r>
      <w:r>
        <w:t xml:space="preserve"> </w:t>
      </w:r>
      <w:r>
        <w:t xml:space="preserve">across rounds (e.g., some rounds split direct/indirect exports, others combine them).</w:t>
      </w:r>
      <w:r>
        <w:t xml:space="preserve"> </w:t>
      </w:r>
      <w:r>
        <w:t xml:space="preserve">The dissertation builds a</w:t>
      </w:r>
      <w:r>
        <w:t xml:space="preserve"> </w:t>
      </w:r>
      <w:r>
        <w:rPr>
          <w:bCs/>
          <w:b/>
        </w:rPr>
        <w:t xml:space="preserve">common variable schema</w:t>
      </w:r>
      <w:r>
        <w:t xml:space="preserve"> </w:t>
      </w:r>
      <w:r>
        <w:t xml:space="preserve">mapping back to the invariant</w:t>
      </w:r>
      <w:r>
        <w:t xml:space="preserve"> </w:t>
      </w:r>
      <w:r>
        <w:t xml:space="preserve">core modules of the global WBES instrument (World Bank, 2019). Focal variables and</w:t>
      </w:r>
      <w:r>
        <w:t xml:space="preserve"> </w:t>
      </w:r>
      <w:r>
        <w:t xml:space="preserve">construction rules: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Labour productivity (primary dependent variable):</w:t>
      </w:r>
      <w:r>
        <w:t xml:space="preserve"> </w:t>
      </w: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LP</m:t>
            </m:r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annual sales</m:t>
            </m:r>
            <m:r>
              <m:rPr>
                <m:sty m:val="p"/>
              </m:rPr>
              <m:t>/</m:t>
            </m:r>
            <m:r>
              <m:rPr>
                <m:nor/>
                <m:sty m:val="p"/>
              </m:rPr>
              <m:t>full-time permanent employees</m:t>
            </m:r>
          </m:e>
        </m:d>
      </m:oMath>
      <w:r>
        <w:t xml:space="preserve">, from field</w:t>
      </w:r>
      <w:r>
        <w:t xml:space="preserve"> </w:t>
      </w:r>
      <w:r>
        <w:rPr>
          <w:rStyle w:val="VerbatimChar"/>
        </w:rPr>
        <w:t xml:space="preserve">d2</w:t>
      </w:r>
      <w:r>
        <w:t xml:space="preserve"> </w:t>
      </w:r>
      <w:r>
        <w:t xml:space="preserve">(total sales, last fiscal year) and</w:t>
      </w:r>
      <w:r>
        <w:t xml:space="preserve"> </w:t>
      </w:r>
      <w:r>
        <w:rPr>
          <w:rStyle w:val="VerbatimChar"/>
        </w:rPr>
        <w:t xml:space="preserve">l1</w:t>
      </w:r>
      <w:r>
        <w:t xml:space="preserve"> </w:t>
      </w:r>
      <w:r>
        <w:t xml:space="preserve">(permanent workers). Labour productivity is appropriate for WBES, which lacks market prices (Combs et al., 2005; Richard et al., 2009).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Internationalisation intensity (FSTS):</w:t>
      </w:r>
      <w:r>
        <w:t xml:space="preserve"> </w:t>
      </w:r>
      <w:r>
        <w:t xml:space="preserve">sum of direct and indirect exports as a share of sales, from</w:t>
      </w:r>
      <w:r>
        <w:t xml:space="preserve"> </w:t>
      </w:r>
      <w:r>
        <w:rPr>
          <w:rStyle w:val="VerbatimChar"/>
        </w:rPr>
        <w:t xml:space="preserve">d3b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d3c</w:t>
      </w:r>
      <w:r>
        <w:t xml:space="preserve">, range-bounded to [0, 100]. Non-exporting firms receive FSTS = 0 (a valid value, not missing).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Technological capability (TCI) and digital adoption (DAI):</w:t>
      </w:r>
      <w:r>
        <w:t xml:space="preserve"> </w:t>
      </w:r>
      <w:r>
        <w:t xml:space="preserve">constructed from binary indicators (internationally recognised quality certification</w:t>
      </w:r>
      <w:r>
        <w:t xml:space="preserve"> </w:t>
      </w:r>
      <w:r>
        <w:rPr>
          <w:rStyle w:val="VerbatimChar"/>
        </w:rPr>
        <w:t xml:space="preserve">b8</w:t>
      </w:r>
      <w:r>
        <w:t xml:space="preserve">; licensed foreign technology; website</w:t>
      </w:r>
      <w:r>
        <w:t xml:space="preserve"> </w:t>
      </w:r>
      <w:r>
        <w:rPr>
          <w:rStyle w:val="VerbatimChar"/>
        </w:rPr>
        <w:t xml:space="preserve">c22b</w:t>
      </w:r>
      <w:r>
        <w:t xml:space="preserve">; e-mail; electronic payment), kept conceptually distinct per the construct-purity argument in §2.1.3 and Coltman et al. (2008).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Controls:</w:t>
      </w:r>
      <w:r>
        <w:t xml:space="preserve"> </w:t>
      </w:r>
      <w:r>
        <w:t xml:space="preserve">firm age (from</w:t>
      </w:r>
      <w:r>
        <w:t xml:space="preserve"> </w:t>
      </w:r>
      <w:r>
        <w:rPr>
          <w:rStyle w:val="VerbatimChar"/>
        </w:rPr>
        <w:t xml:space="preserve">b5</w:t>
      </w:r>
      <w:r>
        <w:t xml:space="preserve">), size (log employment), foreign ownership, top-manager characteristics, ISIC sector.</w:t>
      </w:r>
    </w:p>
    <w:bookmarkEnd w:id="23"/>
    <w:bookmarkStart w:id="24" w:name="X5d146b6c3f0e567852ae4afb47fcb92b29f5427"/>
    <w:p>
      <w:pPr>
        <w:pStyle w:val="Heading2"/>
      </w:pPr>
      <w:r>
        <w:t xml:space="preserve">A.5 Currency comparability — the problem and the solution</w:t>
      </w:r>
    </w:p>
    <w:p>
      <w:pPr>
        <w:pStyle w:val="FirstParagraph"/>
      </w:pPr>
      <w:r>
        <w:t xml:space="preserve">A validity threat specific to a multi-country pool is that</w:t>
      </w:r>
      <w:r>
        <w:t xml:space="preserve"> </w:t>
      </w:r>
      <w:r>
        <w:rPr>
          <w:bCs/>
          <w:b/>
        </w:rPr>
        <w:t xml:space="preserve">raw labour productivity</w:t>
      </w:r>
      <w:r>
        <w:rPr>
          <w:bCs/>
          <w:b/>
        </w:rPr>
        <w:t xml:space="preserve"> </w:t>
      </w:r>
      <w:r>
        <w:rPr>
          <w:bCs/>
          <w:b/>
        </w:rPr>
        <w:t xml:space="preserve">is denominated in different national currencies</w:t>
      </w:r>
      <w:r>
        <w:t xml:space="preserve"> </w:t>
      </w:r>
      <w:r>
        <w:t xml:space="preserve">(e.g., sales/worker in VND for</w:t>
      </w:r>
      <w:r>
        <w:t xml:space="preserve"> </w:t>
      </w:r>
      <w:r>
        <w:t xml:space="preserve">Vietnam, SGD for Singapore), so productivity</w:t>
      </w:r>
      <w:r>
        <w:t xml:space="preserve"> </w:t>
      </w:r>
      <w:r>
        <w:rPr>
          <w:bCs/>
          <w:b/>
        </w:rPr>
        <w:t xml:space="preserve">levels are not directly comparable</w:t>
      </w:r>
      <w:r>
        <w:t xml:space="preserve"> </w:t>
      </w:r>
      <w:r>
        <w:t xml:space="preserve">across economies—a</w:t>
      </w:r>
      <w:r>
        <w:t xml:space="preserve"> </w:t>
      </w:r>
      <w:r>
        <w:t xml:space="preserve">“</w:t>
      </w:r>
      <w:r>
        <w:t xml:space="preserve">currency artefact</w:t>
      </w:r>
      <w:r>
        <w:t xml:space="preserve">”</w:t>
      </w:r>
      <w:r>
        <w:t xml:space="preserve">. The dissertation addresses this with two</w:t>
      </w:r>
      <w:r>
        <w:t xml:space="preserve"> </w:t>
      </w:r>
      <w:r>
        <w:t xml:space="preserve">complementary layers: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Within country-year standardisation:</w:t>
      </w:r>
      <w:r>
        <w:t xml:space="preserve"> </w:t>
      </w:r>
      <w:r>
        <w:t xml:space="preserve">labour productivity is z-standardised</w:t>
      </w:r>
      <w:r>
        <w:t xml:space="preserve"> </w:t>
      </w:r>
      <w:r>
        <w:t xml:space="preserve">(centred and scaled)</w:t>
      </w:r>
      <w:r>
        <w:t xml:space="preserve"> </w:t>
      </w:r>
      <w:r>
        <w:rPr>
          <w:bCs/>
          <w:b/>
        </w:rPr>
        <w:t xml:space="preserve">within each (economy × year)</w:t>
      </w:r>
      <w:r>
        <w:t xml:space="preserve"> </w:t>
      </w:r>
      <w:r>
        <w:t xml:space="preserve">before pooling, placing</w:t>
      </w:r>
      <w:r>
        <w:t xml:space="preserve"> </w:t>
      </w:r>
      <w:r>
        <w:t xml:space="preserve">every observation on a common relative-position scale within its own country-year</w:t>
      </w:r>
      <w:r>
        <w:t xml:space="preserve"> </w:t>
      </w:r>
      <w:r>
        <w:t xml:space="preserve">distribution. This removes currency-unit and price-level differences while</w:t>
      </w:r>
      <w:r>
        <w:t xml:space="preserve"> </w:t>
      </w:r>
      <w:r>
        <w:t xml:space="preserve">preserving the within-country variation on which identification of the I–P</w:t>
      </w:r>
      <w:r>
        <w:t xml:space="preserve"> </w:t>
      </w:r>
      <w:r>
        <w:t xml:space="preserve">relationship rests.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Two-way fixed effects:</w:t>
      </w:r>
      <w:r>
        <w:t xml:space="preserve"> </w:t>
      </w:r>
      <w:r>
        <w:t xml:space="preserve">every P7 regression includes</w:t>
      </w:r>
      <w:r>
        <w:t xml:space="preserve"> </w:t>
      </w:r>
      <w:r>
        <w:rPr>
          <w:bCs/>
          <w:b/>
        </w:rPr>
        <w:t xml:space="preserve">economy fixed effects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year fixed effects</w:t>
      </w:r>
      <w:r>
        <w:t xml:space="preserve">. Economy fixed effects fully absorb all</w:t>
      </w:r>
      <w:r>
        <w:t xml:space="preserve"> </w:t>
      </w:r>
      <w:r>
        <w:t xml:space="preserve">country-invariant differences (currency, price level, baseline institutions,</w:t>
      </w:r>
      <w:r>
        <w:t xml:space="preserve"> </w:t>
      </w:r>
      <w:r>
        <w:t xml:space="preserve">culture); the I–P coefficient is thus identified from</w:t>
      </w:r>
      <w:r>
        <w:t xml:space="preserve"> </w:t>
      </w:r>
      <w:r>
        <w:rPr>
          <w:bCs/>
          <w:b/>
        </w:rPr>
        <w:t xml:space="preserve">within-country variation</w:t>
      </w:r>
      <w:r>
        <w:t xml:space="preserve"> </w:t>
      </w:r>
      <w:r>
        <w:t xml:space="preserve">and is immune to the currency artefact at the level (Wooldridge, 2010).</w:t>
      </w:r>
    </w:p>
    <w:p>
      <w:pPr>
        <w:pStyle w:val="FirstParagraph"/>
      </w:pPr>
      <w:r>
        <w:t xml:space="preserve">An important methodological consequence: for this reason,</w:t>
      </w:r>
      <w:r>
        <w:t xml:space="preserve"> </w:t>
      </w:r>
      <w:r>
        <w:rPr>
          <w:bCs/>
          <w:b/>
        </w:rPr>
        <w:t xml:space="preserve">raw cross-country</w:t>
      </w:r>
      <w:r>
        <w:rPr>
          <w:bCs/>
          <w:b/>
        </w:rPr>
        <w:t xml:space="preserve"> </w:t>
      </w:r>
      <w:r>
        <w:rPr>
          <w:bCs/>
          <w:b/>
        </w:rPr>
        <w:t xml:space="preserve">productivity-level comparisons are excluded from inference</w:t>
      </w:r>
      <w:r>
        <w:t xml:space="preserve">; inter-regime (ICRV)</w:t>
      </w:r>
      <w:r>
        <w:t xml:space="preserve"> </w:t>
      </w:r>
      <w:r>
        <w:t xml:space="preserve">comparisons in Chapter 4 use only</w:t>
      </w:r>
      <w:r>
        <w:t xml:space="preserve"> </w:t>
      </w:r>
      <w:r>
        <w:rPr>
          <w:bCs/>
          <w:b/>
        </w:rPr>
        <w:t xml:space="preserve">dispersion</w:t>
      </w:r>
      <w:r>
        <w:t xml:space="preserve"> </w:t>
      </w:r>
      <w:r>
        <w:t xml:space="preserve">(PPP/winsorised within country-year)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turning-point gradient</w:t>
      </w:r>
      <w:r>
        <w:t xml:space="preserve">—quantities invariant to currency units (see</w:t>
      </w:r>
      <w:r>
        <w:t xml:space="preserve"> </w:t>
      </w:r>
      <w:r>
        <w:t xml:space="preserve">§4.1.1). Where cross-country</w:t>
      </w:r>
      <w:r>
        <w:t xml:space="preserve"> </w:t>
      </w:r>
      <w:r>
        <w:rPr>
          <w:bCs/>
          <w:b/>
        </w:rPr>
        <w:t xml:space="preserve">level</w:t>
      </w:r>
      <w:r>
        <w:t xml:space="preserve"> </w:t>
      </w:r>
      <w:r>
        <w:t xml:space="preserve">comparison is required, the dissertation uses a</w:t>
      </w:r>
      <w:r>
        <w:t xml:space="preserve"> </w:t>
      </w:r>
      <w:r>
        <w:t xml:space="preserve">dimensionless ratio (e.g., ROS) or purchasing-power-parity adjustment via the Penn</w:t>
      </w:r>
      <w:r>
        <w:t xml:space="preserve"> </w:t>
      </w:r>
      <w:r>
        <w:t xml:space="preserve">World Table (Feenstra et al., 2015).</w:t>
      </w:r>
    </w:p>
    <w:bookmarkEnd w:id="24"/>
    <w:bookmarkStart w:id="25" w:name="X81a57ea166f6e9c4ede7a7ef469ff224ecb34c5"/>
    <w:p>
      <w:pPr>
        <w:pStyle w:val="Heading2"/>
      </w:pPr>
      <w:r>
        <w:t xml:space="preserve">A.6 Econometric pooling strategy (pooled repeated cross-sections)</w:t>
      </w:r>
    </w:p>
    <w:p>
      <w:pPr>
        <w:pStyle w:val="FirstParagraph"/>
      </w:pPr>
      <w:r>
        <w:t xml:space="preserve">Because the data are repeated cross-sections rather than a panel, estimation follows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pooled cross-section with fixed effects</w:t>
      </w:r>
      <w:r>
        <w:t xml:space="preserve"> </w:t>
      </w:r>
      <w:r>
        <w:t xml:space="preserve">framework rather than a dynamic panel</w:t>
      </w:r>
      <w:r>
        <w:t xml:space="preserve"> </w:t>
      </w:r>
      <w:r>
        <w:t xml:space="preserve">model (Deaton, 1985; Wooldridge, 2010). The core P7 model is quadratic to capture the</w:t>
      </w:r>
      <w:r>
        <w:t xml:space="preserve"> </w:t>
      </w:r>
      <w:r>
        <w:t xml:space="preserve">inverted-U relationship (H1):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LP</m:t>
                  </m:r>
                </m:e>
              </m:d>
            </m:e>
            <m:sub>
              <m:r>
                <m:t>i</m:t>
              </m:r>
              <m:r>
                <m:t>j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rPr>
                  <m:nor/>
                  <m:sty m:val="p"/>
                </m:rPr>
                <m:t>FSTS</m:t>
              </m:r>
            </m:e>
            <m:sub>
              <m:r>
                <m:t>i</m:t>
              </m:r>
              <m:r>
                <m:t>j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FSTS</m:t>
              </m:r>
            </m:e>
            <m:sub>
              <m:r>
                <m:t>i</m:t>
              </m:r>
              <m:r>
                <m:t>j</m:t>
              </m:r>
              <m:r>
                <m:t>t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i</m:t>
              </m:r>
              <m:r>
                <m:t>j</m:t>
              </m:r>
              <m:r>
                <m:t>t</m:t>
              </m:r>
            </m:sub>
          </m:sSub>
          <m:r>
            <m:rPr>
              <m:sty m:val="b"/>
            </m:rPr>
            <m:t>γ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firms,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economies,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survey years;</w:t>
      </w:r>
      <w:r>
        <w:t xml:space="preserve"> </w:t>
      </w:r>
      <m:oMath>
        <m:sSub>
          <m:e>
            <m:r>
              <m:t>α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τ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economy and year fixed effects;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 </w:t>
      </w:r>
      <w:r>
        <w:t xml:space="preserve">is the control vector. The turning point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, tested with the Lind and Mehlum (2010) /</w:t>
      </w:r>
      <w:r>
        <w:t xml:space="preserve"> </w:t>
      </w:r>
      <w:r>
        <w:t xml:space="preserve">Sasabuchi procedure to confirm an interior extremum within the data range. Standard</w:t>
      </w:r>
      <w:r>
        <w:t xml:space="preserve"> </w:t>
      </w:r>
      <w:r>
        <w:t xml:space="preserve">errors are heteroskedasticity-robust and clustered by economy to reflect the</w:t>
      </w:r>
      <w:r>
        <w:t xml:space="preserve"> </w:t>
      </w:r>
      <w:r>
        <w:t xml:space="preserve">intra-cluster correlation of the stratified survey design (Cameron &amp; Trivedi, 2005;</w:t>
      </w:r>
      <w:r>
        <w:t xml:space="preserve"> </w:t>
      </w:r>
      <w:r>
        <w:t xml:space="preserve">White, 1980). A quadratic is preferred over a cubic where the distributional mass at</w:t>
      </w:r>
      <w:r>
        <w:t xml:space="preserve"> </w:t>
      </w:r>
      <w:r>
        <w:t xml:space="preserve">high FSTS is insufficient to identify a cubic inflection precisely.</w:t>
      </w:r>
    </w:p>
    <w:bookmarkEnd w:id="25"/>
    <w:bookmarkStart w:id="26" w:name="X925bf3912309bdc8c81143b5bff0b089b733236"/>
    <w:p>
      <w:pPr>
        <w:pStyle w:val="Heading2"/>
      </w:pPr>
      <w:r>
        <w:t xml:space="preserve">A.7 Institutional stratification (ICRV, Step S5)</w:t>
      </w:r>
    </w:p>
    <w:p>
      <w:pPr>
        <w:pStyle w:val="FirstParagraph"/>
      </w:pPr>
      <w:r>
        <w:t xml:space="preserve">Each economy is assigned to one of six Institutional Context Regime Variation (ICRV)</w:t>
      </w:r>
      <w:r>
        <w:t xml:space="preserve"> </w:t>
      </w:r>
      <w:r>
        <w:t xml:space="preserve">regimes based on a combination of the Worldwide Governance Indicators (Kaufmann et</w:t>
      </w:r>
      <w:r>
        <w:t xml:space="preserve"> </w:t>
      </w:r>
      <w:r>
        <w:t xml:space="preserve">al., 2011), level of economic development, and structural institutional features,</w:t>
      </w:r>
      <w:r>
        <w:t xml:space="preserve"> </w:t>
      </w:r>
      <w:r>
        <w:t xml:space="preserve">extending the institutional-voids framework of Khanna and Palepu (2010). Assignment</w:t>
      </w:r>
      <w:r>
        <w:t xml:space="preserve"> </w:t>
      </w:r>
      <w:r>
        <w:t xml:space="preserve">requires sufficient WGI coverage; firms in country-years lacking institutional</w:t>
      </w:r>
      <w:r>
        <w:t xml:space="preserve"> </w:t>
      </w:r>
      <w:r>
        <w:t xml:space="preserve">indicators are not classified (the gap between 106,765 raw records and 96,415</w:t>
      </w:r>
      <w:r>
        <w:t xml:space="preserve"> </w:t>
      </w:r>
      <w:r>
        <w:t xml:space="preserve">classified records at S5). The final analytic frame is restricted to</w:t>
      </w:r>
      <w:r>
        <w:t xml:space="preserve"> </w:t>
      </w:r>
      <w:r>
        <w:rPr>
          <w:bCs/>
          <w:b/>
        </w:rPr>
        <w:t xml:space="preserve">49 Asia-Pacific</w:t>
      </w:r>
      <w:r>
        <w:rPr>
          <w:bCs/>
          <w:b/>
        </w:rPr>
        <w:t xml:space="preserve"> </w:t>
      </w:r>
      <w:r>
        <w:rPr>
          <w:bCs/>
          <w:b/>
        </w:rPr>
        <w:t xml:space="preserve">economies</w:t>
      </w:r>
      <w:r>
        <w:t xml:space="preserve">, dropping three out-of-region economies (Comoros, Cyprus, Türkiye) from</w:t>
      </w:r>
      <w:r>
        <w:t xml:space="preserve"> </w:t>
      </w:r>
      <w:r>
        <w:t xml:space="preserve">the main analytic sample while retaining them in the 52-economy classification pool</w:t>
      </w:r>
      <w:r>
        <w:t xml:space="preserve"> </w:t>
      </w:r>
      <w:r>
        <w:t xml:space="preserve">for robustness (Comoros is used in P8’s extended SIDS robustness set).</w:t>
      </w:r>
    </w:p>
    <w:bookmarkEnd w:id="26"/>
    <w:bookmarkStart w:id="27" w:name="Xf6df14050b21a1bac9bd0bc138b31ca1f2a2947"/>
    <w:p>
      <w:pPr>
        <w:pStyle w:val="Heading2"/>
      </w:pPr>
      <w:r>
        <w:t xml:space="preserve">A.8 Sampling weights and representativeness</w:t>
      </w:r>
    </w:p>
    <w:p>
      <w:pPr>
        <w:pStyle w:val="FirstParagraph"/>
      </w:pPr>
      <w:r>
        <w:t xml:space="preserve">Because WBES uses a stratified design with unequal selection probabilities,</w:t>
      </w:r>
      <w:r>
        <w:t xml:space="preserve"> </w:t>
      </w:r>
      <w:r>
        <w:rPr>
          <w:bCs/>
          <w:b/>
        </w:rPr>
        <w:t xml:space="preserve">population-level descriptive</w:t>
      </w:r>
      <w:r>
        <w:t xml:space="preserve"> </w:t>
      </w:r>
      <w:r>
        <w:t xml:space="preserve">statistics require sampling weights. For</w:t>
      </w:r>
      <w:r>
        <w:t xml:space="preserve"> </w:t>
      </w:r>
      <w:r>
        <w:rPr>
          <w:bCs/>
          <w:b/>
        </w:rPr>
        <w:t xml:space="preserve">fixed-effects regression inference</w:t>
      </w:r>
      <w:r>
        <w:t xml:space="preserve">, however, the dissertation follows Solon,</w:t>
      </w:r>
      <w:r>
        <w:t xml:space="preserve"> </w:t>
      </w:r>
      <w:r>
        <w:t xml:space="preserve">Haider, and Wooldridge (2015): once the model conditions on the stratification</w:t>
      </w:r>
      <w:r>
        <w:t xml:space="preserve"> </w:t>
      </w:r>
      <w:r>
        <w:t xml:space="preserve">dimensions (size and sector via controls; economy via fixed effects), unweighted OLS</w:t>
      </w:r>
      <w:r>
        <w:t xml:space="preserve"> </w:t>
      </w:r>
      <w:r>
        <w:t xml:space="preserve">yields consistent and typically more efficient coefficients; weights are used in</w:t>
      </w:r>
      <w:r>
        <w:t xml:space="preserve"> </w:t>
      </w:r>
      <w:r>
        <w:t xml:space="preserve">robustness checks to confirm stability. This balances representativeness against</w:t>
      </w:r>
      <w:r>
        <w:t xml:space="preserve"> </w:t>
      </w:r>
      <w:r>
        <w:t xml:space="preserve">estimation efficiency on a justified basis.</w:t>
      </w:r>
    </w:p>
    <w:bookmarkEnd w:id="27"/>
    <w:bookmarkStart w:id="28" w:name="a.9-missing-data-treatment-steps-s4-s6"/>
    <w:p>
      <w:pPr>
        <w:pStyle w:val="Heading2"/>
      </w:pPr>
      <w:r>
        <w:t xml:space="preserve">A.9 Missing-data treatment (Steps S4 &amp; S6)</w:t>
      </w:r>
    </w:p>
    <w:p>
      <w:pPr>
        <w:pStyle w:val="FirstParagraph"/>
      </w:pPr>
      <w:r>
        <w:t xml:space="preserve">WBES non-response codes (−9</w:t>
      </w:r>
      <w:r>
        <w:t xml:space="preserve"> </w:t>
      </w:r>
      <w:r>
        <w:rPr>
          <w:iCs/>
          <w:i/>
        </w:rPr>
        <w:t xml:space="preserve">Don’t Know</w:t>
      </w:r>
      <w:r>
        <w:t xml:space="preserve">, −8</w:t>
      </w:r>
      <w:r>
        <w:t xml:space="preserve"> </w:t>
      </w:r>
      <w:r>
        <w:rPr>
          <w:iCs/>
          <w:i/>
        </w:rPr>
        <w:t xml:space="preserve">Refusal</w:t>
      </w:r>
      <w:r>
        <w:t xml:space="preserve">, −7</w:t>
      </w:r>
      <w:r>
        <w:t xml:space="preserve"> </w:t>
      </w:r>
      <w:r>
        <w:rPr>
          <w:iCs/>
          <w:i/>
        </w:rPr>
        <w:t xml:space="preserve">Not Applicable</w:t>
      </w:r>
      <w:r>
        <w:t xml:space="preserve">) are</w:t>
      </w:r>
      <w:r>
        <w:t xml:space="preserve"> </w:t>
      </w:r>
      <w:r>
        <w:t xml:space="preserve">consistently recoded to missing before any computation. The analytic sample uses</w:t>
      </w:r>
      <w:r>
        <w:t xml:space="preserve"> </w:t>
      </w:r>
      <w:r>
        <w:rPr>
          <w:bCs/>
          <w:b/>
        </w:rPr>
        <w:t xml:space="preserve">listwise deletion</w:t>
      </w:r>
      <w:r>
        <w:t xml:space="preserve"> </w:t>
      </w:r>
      <w:r>
        <w:t xml:space="preserve">on the focal variable set, so N declines as controls are added</w:t>
      </w:r>
      <w:r>
        <w:t xml:space="preserve"> </w:t>
      </w:r>
      <w:r>
        <w:t xml:space="preserve">(most sharply for foreign ownership, ~50% missing in small economies and early</w:t>
      </w:r>
      <w:r>
        <w:t xml:space="preserve"> </w:t>
      </w:r>
      <w:r>
        <w:t xml:space="preserve">rounds). The maintained assumption is missingness at random conditional on observed</w:t>
      </w:r>
      <w:r>
        <w:t xml:space="preserve"> </w:t>
      </w:r>
      <w:r>
        <w:t xml:space="preserve">covariates; the dissertation transparently reports the decline in N across</w:t>
      </w:r>
      <w:r>
        <w:t xml:space="preserve"> </w:t>
      </w:r>
      <w:r>
        <w:t xml:space="preserve">specifications and checks turning-point stability to ensure results are not driven by</w:t>
      </w:r>
      <w:r>
        <w:t xml:space="preserve"> </w:t>
      </w:r>
      <w:r>
        <w:t xml:space="preserve">the missingness mechanism (Little &amp; Rubin, 2019).</w:t>
      </w:r>
    </w:p>
    <w:bookmarkEnd w:id="28"/>
    <w:bookmarkStart w:id="29" w:name="a.10-reproducibility-and-limitations"/>
    <w:p>
      <w:pPr>
        <w:pStyle w:val="Heading2"/>
      </w:pPr>
      <w:r>
        <w:t xml:space="preserve">A.10 Reproducibility and limitations</w:t>
      </w:r>
    </w:p>
    <w:p>
      <w:pPr>
        <w:pStyle w:val="FirstParagraph"/>
      </w:pPr>
      <w:r>
        <w:rPr>
          <w:bCs/>
          <w:b/>
        </w:rPr>
        <w:t xml:space="preserve">Reproducibility.</w:t>
      </w:r>
      <w:r>
        <w:t xml:space="preserve"> </w:t>
      </w:r>
      <w:r>
        <w:t xml:space="preserve">The entire procedure is deterministic and open:</w:t>
      </w:r>
      <w:r>
        <w:t xml:space="preserve"> </w:t>
      </w:r>
      <w:r>
        <w:rPr>
          <w:rStyle w:val="VerbatimChar"/>
        </w:rPr>
        <w:t xml:space="preserve">scripts/wbes_canon.py</w:t>
      </w:r>
      <w:r>
        <w:t xml:space="preserve"> </w:t>
      </w:r>
      <w:r>
        <w:t xml:space="preserve">(economy-year identifier canonicalisation, filtering rules),</w:t>
      </w:r>
      <w:r>
        <w:t xml:space="preserve"> </w:t>
      </w:r>
      <w:r>
        <w:rPr>
          <w:rStyle w:val="VerbatimChar"/>
        </w:rPr>
        <w:t xml:space="preserve">scripts/build_pooled_dataset.py</w:t>
      </w:r>
      <w:r>
        <w:t xml:space="preserve"> </w:t>
      </w:r>
      <w:r>
        <w:t xml:space="preserve">(pooling + harmonisation + data flow), with the</w:t>
      </w:r>
      <w:r>
        <w:t xml:space="preserve"> </w:t>
      </w:r>
      <w:r>
        <w:t xml:space="preserve">report</w:t>
      </w:r>
      <w:r>
        <w:t xml:space="preserve"> </w:t>
      </w:r>
      <w:r>
        <w:rPr>
          <w:rStyle w:val="VerbatimChar"/>
        </w:rPr>
        <w:t xml:space="preserve">data_wbes/analysis/pooled_dataflow.csv</w:t>
      </w:r>
      <w:r>
        <w:t xml:space="preserve">. Estimation in the absence of Stata is</w:t>
      </w:r>
      <w:r>
        <w:t xml:space="preserve"> </w:t>
      </w:r>
      <w:r>
        <w:t xml:space="preserve">performed in Python (pandas/numpy)—a valid alternative for pooled cross-section</w:t>
      </w:r>
      <w:r>
        <w:t xml:space="preserve"> </w:t>
      </w:r>
      <w:r>
        <w:t xml:space="preserve">econometrics when no Stata licence is available.</w:t>
      </w:r>
    </w:p>
    <w:p>
      <w:pPr>
        <w:pStyle w:val="BodyText"/>
      </w:pPr>
      <w:r>
        <w:rPr>
          <w:bCs/>
          <w:b/>
        </w:rPr>
        <w:t xml:space="preserve">Limitations.</w:t>
      </w:r>
      <w:r>
        <w:t xml:space="preserve"> </w:t>
      </w:r>
      <w:r>
        <w:t xml:space="preserve">(i) Repeated cross-sections do not track firm trajectories, limiting</w:t>
      </w:r>
      <w:r>
        <w:t xml:space="preserve"> </w:t>
      </w:r>
      <w:r>
        <w:t xml:space="preserve">dynamic causal inference; (ii) labour productivity proxies performance and is not</w:t>
      </w:r>
      <w:r>
        <w:t xml:space="preserve"> </w:t>
      </w:r>
      <w:r>
        <w:t xml:space="preserve">direct TFPR; (iii) DAI measurement is constrained to a foundational website proxy by</w:t>
      </w:r>
      <w:r>
        <w:t xml:space="preserve"> </w:t>
      </w:r>
      <w:r>
        <w:t xml:space="preserve">data availability; (iv) the reproducible raw archive is currently a subset of the</w:t>
      </w:r>
      <w:r>
        <w:t xml:space="preserve"> </w:t>
      </w:r>
      <w:r>
        <w:t xml:space="preserve">full assembly. These limitations are stated consistently with the limitations section</w:t>
      </w:r>
      <w:r>
        <w:t xml:space="preserve"> </w:t>
      </w:r>
      <w:r>
        <w:t xml:space="preserve">in Chapter 5.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Script &amp; data links: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scripts/build_pooled_dataset.py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scripts/wbes_canon.py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scripts/cd1_descriptives_pipeline.py</w:t>
      </w:r>
      <w:r>
        <w:rPr>
          <w:iCs/>
          <w:i/>
        </w:rPr>
        <w:t xml:space="preserve">;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data_wbes/analysis/pooled_dataflow.csv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DATA_UPDATE_MANIFEST.md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CANONICAL_RECONCILIATION.md</w:t>
      </w:r>
      <w:r>
        <w:rPr>
          <w:iCs/>
          <w:i/>
        </w:rPr>
        <w:t xml:space="preserve">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2026-06-11T18:13:24Z</dcterms:created>
  <dcterms:modified xsi:type="dcterms:W3CDTF">2026-06-11T18:13:24Z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