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đi từ bằng chứng tổng hợp ở cấp vĩ mô đến bằng chứng của từng quốc gia cụ thể, và sau cùng là kiểm định trên toàn mẫu đa quốc gia. Cấu trúc trình bày gồm sáu phần chính, tương ứng với sáu nhóm phân tích của luận án: (i) kết quả phân tích tổng hợp ba tầng (P6); (ii) bối cảnh thể chế tiên tiến dựa trên đổi mới tại Singapore (P4); (iii) bối cảnh thể chế trung bình cao tại Trung Quốc (P5); (iv) bối cảnh chuyển đổi bậc thấp đến trung tại Việt Nam (P3); (v) kiểm định toàn mẫu châu Á đa bối cảnh (P7); và (vi) trường hợp biên là các nền kinh tế đảo nhỏ đang phát triển ở Thái Bình Dương (P8). Tất cả con số thống kê đều được trích từ các bản thảo đang chuẩn bị (Đỗ &amp; Phan, 2026, bản thảo đang chuẩn bị) và không được phép tự ý điều chỉnh.</w:t>
      </w:r>
    </w:p>
    <w:p>
      <w:r>
        <w:pict>
          <v:rect style="width:0;height:1.5pt" o:hralign="center" o:hrstd="t" o:hr="t"/>
        </w:pict>
      </w:r>
    </w:p>
    <w:bookmarkEnd w:id="20"/>
    <w:bookmarkStart w:id="25" w:name="Xe0084a7c2f7e752cafc4091ca0758f37f91bfa0"/>
    <w:p>
      <w:pPr>
        <w:pStyle w:val="Heading2"/>
      </w:pPr>
      <w:r>
        <w:t xml:space="preserve">4.1 Kết quả tổng hợp định lượng — Meta-analysis ba tầng (P6)</w:t>
      </w:r>
    </w:p>
    <w:bookmarkStart w:id="21" w:name="chỉ-số-hiệu-ứng-tổng-hợp"/>
    <w:p>
      <w:pPr>
        <w:pStyle w:val="Heading3"/>
      </w:pPr>
      <w:r>
        <w:t xml:space="preserve">4.1.1 Chỉ số hiệu ứng tổng hợp</w:t>
      </w:r>
    </w:p>
    <w:p>
      <w:pPr>
        <w:pStyle w:val="FirstParagraph"/>
      </w:pPr>
      <w:r>
        <w:t xml:space="preserve">Phân tích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mức độ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chung từ các phân tích tổng hợp trước đây của Bausch và Krist (2007), Kirca et al. (2012), Marano et al. (2016) và Arte và Larimo (2022): quan hệ tổng hợp giữa quốc tế hóa và hiệu quả hoạt động là dương nhưng có biên độ khiêm tốn.</w:t>
      </w:r>
    </w:p>
    <w:p>
      <w:pPr>
        <w:pStyle w:val="BodyText"/>
      </w:pPr>
      <w:r>
        <w:t xml:space="preserve">Một điểm đáng lưu ý là kết quả P6 hoàn toàn nhất quán với mức tham chiếu từ phân tích tổng hợp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ngay cả khi tập nghiên cứu được mở rộng lên gần gấp đôi.</w:t>
      </w:r>
    </w:p>
    <w:bookmarkEnd w:id="21"/>
    <w:bookmarkStart w:id="22" w:name="phân-tích-dị-biệt-ba-tầng"/>
    <w:p>
      <w:pPr>
        <w:pStyle w:val="Heading3"/>
      </w:pPr>
      <w:r>
        <w:t xml:space="preserve">4.1.2 Phân tích dị biệt ba tầng</w:t>
      </w:r>
    </w:p>
    <w:p>
      <w:pPr>
        <w:pStyle w:val="FirstParagraph"/>
      </w:pPr>
      <w:r>
        <w:t xml:space="preserve">Kết quả quan trọng nhất của phân tích MARA không nằm ở giá trị điểm của</w:t>
      </w:r>
      <w:r>
        <w:t xml:space="preserve"> </w:t>
      </w:r>
      <m:oMath>
        <m:r>
          <m:t>r</m:t>
        </m:r>
      </m:oMath>
      <w:r>
        <w:t xml:space="preserve"> </w:t>
      </w:r>
      <w:r>
        <w:t xml:space="preserve">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trong tập hợp 238 nghiên cứu không bắt nguồn từ sai số lấy mẫu. Quan trọng hơn, khi phân tách theo cấu trúc ba tầng:</w:t>
      </w:r>
    </w:p>
    <w:p>
      <w:pPr>
        <w:numPr>
          <w:ilvl w:val="0"/>
          <w:numId w:val="1001"/>
        </w:numPr>
        <w:pStyle w:val="Compact"/>
      </w:pPr>
      <w:r>
        <w:rPr>
          <w:bCs/>
          <w:b/>
        </w:rPr>
        <w:t xml:space="preserve">Tầng 2</w:t>
      </w:r>
      <w:r>
        <w:t xml:space="preserve"> </w:t>
      </w:r>
      <w:r>
        <w:t xml:space="preserve">(dị biệt giữa các mức độ ảnh hưởng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(dị biệt giữa các nghiên cứu với nhau): chỉ chiếm</w:t>
      </w:r>
      <w:r>
        <w:t xml:space="preserve"> </w:t>
      </w:r>
      <m:oMath>
        <m:r>
          <m:t>8</m:t>
        </m:r>
        <m:r>
          <m:rPr>
            <m:sty m:val="p"/>
          </m:rPr>
          <m:t>,</m:t>
        </m:r>
        <m:r>
          <m:t>4</m:t>
        </m:r>
        <m:r>
          <m:rPr>
            <m:sty m:val="p"/>
          </m:rPr>
          <m:t>%</m:t>
        </m:r>
      </m:oMath>
      <w:r>
        <w:t xml:space="preserve">.</w:t>
      </w:r>
    </w:p>
    <w:p>
      <w:pPr>
        <w:pStyle w:val="FirstParagraph"/>
      </w:pPr>
      <w:r>
        <w:t xml:space="preserve">Phát hiện này mang hàm ý lý thuyết sâu sắc. Dị biệt trong tài liệu nghiên cứu về quan hệ giữa quốc tế hóa và hiệu quả hoạt động chủ yếu xuất phát từ biến thiên</w:t>
      </w:r>
      <w:r>
        <w:t xml:space="preserve"> </w:t>
      </w:r>
      <w:r>
        <w:rPr>
          <w:bCs/>
          <w:b/>
        </w:rPr>
        <w:t xml:space="preserve">bên trong từng nghiên cứu</w:t>
      </w:r>
      <w:r>
        <w:t xml:space="preserve"> </w:t>
      </w:r>
      <w:r>
        <w:t xml:space="preserve">(chẳng hạn cùng một mẫu doanh nghiệp nhưng dùng các thước đo khác nhau cho cùng một khái niệm lại cho kết quả khác nhau), chứ không phải từ sự khác biệt giữa các nghiên cứu. Điều này gợi ý rằng tính không nhất quán trong tài liệu nghiên cứu phần lớn là vấn đề</w:t>
      </w:r>
      <w:r>
        <w:t xml:space="preserve"> </w:t>
      </w:r>
      <w:r>
        <w:rPr>
          <w:bCs/>
          <w:b/>
        </w:rPr>
        <w:t xml:space="preserve">đo lường và bối cảnh</w:t>
      </w:r>
      <w:r>
        <w:t xml:space="preserve">, chứ không phải bằng chứng về sự thiếu nhất quán thực sự trong quan hệ nhân quả giữa quốc tế hóa và hiệu quả.</w:t>
      </w:r>
    </w:p>
    <w:bookmarkEnd w:id="22"/>
    <w:bookmarkStart w:id="23" w:name="điều-tiết-bởi-chế-độ-thể-chế-icrv"/>
    <w:p>
      <w:pPr>
        <w:pStyle w:val="Heading3"/>
      </w:pPr>
      <w:r>
        <w:t xml:space="preserve">4.1.3 Điều tiết bởi chế độ thể chế ICRV</w:t>
      </w:r>
    </w:p>
    <w:p>
      <w:pPr>
        <w:pStyle w:val="FirstParagraph"/>
      </w:pPr>
      <w:r>
        <w:t xml:space="preserve">Kiểm định điều tiết theo nhóm chế độ thể chế ICRV (Institutional Context Regime Variation) cho kết quả có ý nghĩa thống kê cao:</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rằng chế độ thể chế, được phân loại thành sáu nhóm từ Advanced Innovation-Driven (Nhóm I: Singapore, Hong Kong, Đài Loan, Hàn Quốc) đến SIDS Thái Bình Dương (Nhóm VI), thực sự là một yếu tố điều tiết có ý nghĩa đối với quan hệ tổng hợp giữa quốc tế hóa và hiệu quả hoạt động.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t xml:space="preserve">Gradient theo ICRV hiện diện rõ ràng trong kết quả: các nền kinh tế Advanced Innovation-Driven có hiệu ứng lớn hơn so với các nền kinh tế Frontier hay SIDS. Kết quả này nhất quán với cơ chế của lý thuyết thể chế, theo đó môi trường thể chế chất lượng cao tạo điều kiện để doanh nghiệp chuyển hóa quốc tế hóa thành hiệu quả dễ dàng hơn (North, 1990; Marano et al., 2016).</w:t>
      </w:r>
    </w:p>
    <w:bookmarkEnd w:id="23"/>
    <w:bookmarkStart w:id="24" w:name="kiểm-định-publication-bias"/>
    <w:p>
      <w:pPr>
        <w:pStyle w:val="Heading3"/>
      </w:pPr>
      <w:r>
        <w:t xml:space="preserve">4.1.4 Kiểm định publication bias</w:t>
      </w:r>
    </w:p>
    <w:p>
      <w:pPr>
        <w:pStyle w:val="FirstParagraph"/>
      </w:pPr>
      <w:r>
        <w:t xml:space="preserve">Phân tích sai lệch xuất bản (publication bias) gồm ba kiểm định bổ sung cho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các nghiên cứu có sai số chuẩn lớn hơn (mẫu nhỏ hơn) có xu hướng báo cáo mức độ ảnh hưởng thấp hơn, phù hợp với hiện tượng lệch lạc công bố ưu tiên kết quả dương tính.</w:t>
      </w:r>
      <w:r>
        <w:t xml:space="preserve"> </w:t>
      </w:r>
      <w:r>
        <w:rPr>
          <w:bCs/>
          <w:b/>
        </w:rPr>
        <w:t xml:space="preserve">Phân tích cắt-và-điền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nội suy), một mức điều chỉnh đáng kể nhưng không làm đổi chiều hướng tích cực của quan hệ tổng hợp.</w:t>
      </w:r>
      <w:r>
        <w:t xml:space="preserve"> </w:t>
      </w:r>
      <w:r>
        <w:rPr>
          <w:bCs/>
          <w:b/>
        </w:rPr>
        <w:t xml:space="preserve">Chỉ số an toàn 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sai lệch xuất bản không thể bác bỏ hoàn toàn kết quả tổng hợp. Tổng hợp lại, bằng chứng về sai lệch xuất bản được xác nhận qua kiểm định Begg–Mazumdar có ý nghĩa (</w:t>
      </w:r>
      <m:oMath>
        <m:r>
          <m:t>p</m:t>
        </m:r>
        <m:r>
          <m:rPr>
            <m:sty m:val="p"/>
          </m:rPr>
          <m:t>=</m:t>
        </m:r>
        <m:r>
          <m:rPr>
            <m:sty m:val="p"/>
          </m:rPr>
          <m:t>,</m:t>
        </m:r>
        <m:r>
          <m:t>0007</m:t>
        </m:r>
      </m:oMath>
      <w:r>
        <w:t xml:space="preserve">): hiệu ứng tổng hợp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một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4"/>
    <w:bookmarkEnd w:id="25"/>
    <w:bookmarkStart w:id="29" w:name="Xae571c1410747d630a72c4d12985bac375822ae"/>
    <w:p>
      <w:pPr>
        <w:pStyle w:val="Heading2"/>
      </w:pPr>
      <w:r>
        <w:t xml:space="preserve">4.2 Kết quả bối cảnh thể chế tiên tiến — Đổi mới: Singapore (P4)</w:t>
      </w:r>
    </w:p>
    <w:bookmarkStart w:id="26" w:name="xác-nhận-quan-hệ-phi-tuyến-chữ-u-ngược"/>
    <w:p>
      <w:pPr>
        <w:pStyle w:val="Heading3"/>
      </w:pPr>
      <w:r>
        <w:t xml:space="preserve">4.2.1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quan hệ phi tuyến dạng chữ U ngược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uốn (turning point) được ước lượng ở mức</w:t>
      </w:r>
      <w:r>
        <w:t xml:space="preserve"> </w:t>
      </w:r>
      <w:r>
        <w:rPr>
          <w:bCs/>
          <w:b/>
        </w:rPr>
        <w:t xml:space="preserve">TP ≈ 82% FSTS</w:t>
      </w:r>
      <w:r>
        <w:t xml:space="preserve">, cao nhất trong tất cả các bối cảnh ICRV được phân tích. Khoảng tin cậy của điểm uốn khá rộng (CI: [53%, 253%]), phản ánh hạn chế về quy mô mẫu và độ chính xác thống kê. Tuy vậy, điểm ước lượng trung tâm cho thấy doanh nghiệp Singapore có thể duy trì đà tăng trưởng hiệu quả khi quốc tế hóa ở mức rất cao trước khi đạt đỉnh và suy giảm. Điều này nhất quán với lợi thế thể chế đặc thù của Singapore: nền kinh tế mở, hệ thống pháp lý mạnh, cơ sở hạ tầng thương mại hàng đầu thế giới, cùng mạng lưới hiệp định thương mại tự do rộng khắp giúp giảm chi phí giao dịch xuyên biên giới.</w:t>
      </w:r>
    </w:p>
    <w:bookmarkEnd w:id="26"/>
    <w:bookmarkStart w:id="27" w:name="điều-tiết-bởi-digital-adoption-index-dai"/>
    <w:p>
      <w:pPr>
        <w:pStyle w:val="Heading3"/>
      </w:pPr>
      <w:r>
        <w:t xml:space="preserve">4.2.2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(gồm cả Tier-1 và Tier-2 của chỉ số DAI) cho thấy hiệu ứng khuếch đại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mức độ chấp nhận số cao hơn duy trì hiệu quả tốt hơn so với doanh nghiệp có DAI thấp. Điều này cho thấy DAI đóng vai trò một nguồn lực tình huống làm chậm đà suy giảm ở phía bên phải của đường phi tuyến.</w:t>
      </w:r>
    </w:p>
    <w:p>
      <w:pPr>
        <w:pStyle w:val="BodyText"/>
      </w:pPr>
      <w:r>
        <w:t xml:space="preserve">Kết quả này mang ý nghĩa lý thuyết quan trọng: trong bối cảnh Advanced Innovation (Nhóm I), nơi cơ sở hạ tầng số đã phát triển đầy đủ, DAI phát huy vai trò điều tiết đáng kể trong quá trình quốc tế hóa. Kết quả P7 (45 nền kinh tế) sau đó xác nhận DAI có hiệu ứng nâng mặt bằng phổ quát (β=+0,172***) cùng cơ chế</w:t>
      </w:r>
      <w:r>
        <w:t xml:space="preserve"> </w:t>
      </w:r>
      <w:r>
        <w:t xml:space="preserve">“</w:t>
      </w:r>
      <w:r>
        <w:t xml:space="preserve">lá chắn số</w:t>
      </w:r>
      <w:r>
        <w:t xml:space="preserve">”</w:t>
      </w:r>
      <w:r>
        <w:t xml:space="preserve">: DAI×ICRV p=.049, mạnh nhất tại các bối cảnh thể chế yếu (Frontier/SIDS) chứ không riêng nhóm Advanced.</w:t>
      </w:r>
    </w:p>
    <w:bookmarkEnd w:id="27"/>
    <w:bookmarkStart w:id="28" w:name="giới-hạn-suy-luận-và-cảnh-báo-thống-kê"/>
    <w:p>
      <w:pPr>
        <w:pStyle w:val="Heading3"/>
      </w:pPr>
      <w:r>
        <w:t xml:space="preserve">4.2.3 Giới hạn suy luận và cảnh báo thống kê</w:t>
      </w:r>
    </w:p>
    <w:p>
      <w:pPr>
        <w:pStyle w:val="FirstParagraph"/>
      </w:pPr>
      <w:r>
        <w:t xml:space="preserve">Cần nhấn mạnh rằng kết quả Singapore chỉ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khiến công suất thống kê ước tính chỉ đạt khoảng 16%. Nói cách khác, ngay cả khi hiệu ứng thực sự tồn tại, khả năng phát hiện nó với một mẫu nhỏ như vậy là rất hạn chế. Luận án này diễn giải kết quả Singapore như</w:t>
      </w:r>
      <w:r>
        <w:t xml:space="preserve"> </w:t>
      </w:r>
      <w:r>
        <w:rPr>
          <w:iCs/>
          <w:i/>
        </w:rPr>
        <w:t xml:space="preserve">bằng chứng tương thích nhưng chưa đủ công suất</w:t>
      </w:r>
      <w:r>
        <w:t xml:space="preserve"> </w:t>
      </w:r>
      <w:r>
        <w:t xml:space="preserve">(consistent but underpowered evidence): không bác bỏ giả thuyết, song cũng chưa thể xác nhận dứt khoát.</w:t>
      </w:r>
    </w:p>
    <w:p>
      <w:r>
        <w:pict>
          <v:rect style="width:0;height:1.5pt" o:hralign="center" o:hrstd="t" o:hr="t"/>
        </w:pict>
      </w:r>
    </w:p>
    <w:bookmarkEnd w:id="28"/>
    <w:bookmarkEnd w:id="29"/>
    <w:bookmarkStart w:id="33" w:name="Xabe361c2d5961cf19ce7ab2bd5d9bc6d758140a"/>
    <w:p>
      <w:pPr>
        <w:pStyle w:val="Heading2"/>
      </w:pPr>
      <w:r>
        <w:t xml:space="preserve">4.3 Kết quả bối cảnh thể chế trung bình cao: Trung Quốc, 2012–2024 (P5)</w:t>
      </w:r>
    </w:p>
    <w:bookmarkStart w:id="30" w:name="xác-nhận-quan-hệ-phi-tuyến-và-điểm-uốn"/>
    <w:p>
      <w:pPr>
        <w:pStyle w:val="Heading3"/>
      </w:pPr>
      <w:r>
        <w:t xml:space="preserve">4.3.1 Xác nhận quan hệ phi tuyến và điểm uốn</w:t>
      </w:r>
    </w:p>
    <w:p>
      <w:pPr>
        <w:pStyle w:val="FirstParagraph"/>
      </w:pPr>
      <w:r>
        <w:t xml:space="preserve">Phân tích hai giai đoạn trên dữ liệu WBES Trung Quốc (Nhóm III — Upper-middle) trong giai đoạn 2012–2024 xác nhận dạng quan hệ phi tuyến chữ U ngược giữa FSTS và hiệu quả hoạt động doanh nghiệp.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Toàn mẫu (pooled)</w:t>
      </w:r>
      <w:r>
        <w:t xml:space="preserve">: TP = 48,78% FSTS</w:t>
      </w:r>
    </w:p>
    <w:p>
      <w:pPr>
        <w:pStyle w:val="FirstParagraph"/>
      </w:pPr>
      <w:r>
        <w:t xml:space="preserve">Các con số này cho thấy doanh nghiệp Trung Quốc đạt hiệu quả tối ưu khi tỷ lệ doanh thu xuất khẩu ở mức gần 49%, một mức độ tập trung quốc tế vừa phải, trong khi thị trường nội địa khổng lồ vẫn mở ra cơ hội tăng trưởng song song.</w:t>
      </w:r>
    </w:p>
    <w:bookmarkEnd w:id="30"/>
    <w:bookmarkStart w:id="31" w:name="Xe662776ac4ed20d7263c0278e37e5e670eb65fc"/>
    <w:p>
      <w:pPr>
        <w:pStyle w:val="Heading3"/>
      </w:pPr>
      <w:r>
        <w:t xml:space="preserve">4.3.2 Kiểm định tính ổn định theo thời gian — Temporal Stability</w:t>
      </w:r>
    </w:p>
    <w:p>
      <w:pPr>
        <w:pStyle w:val="FirstParagraph"/>
      </w:pPr>
      <w:r>
        <w:t xml:space="preserve">Luận án này đặt một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hay không?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Kết quả này xác nhận rằng</w:t>
      </w:r>
      <w:r>
        <w:t xml:space="preserve"> </w:t>
      </w:r>
      <w:r>
        <w:rPr>
          <w:bCs/>
          <w:b/>
        </w:rPr>
        <w:t xml:space="preserve">điểm uốn ổn định qua thời gian</w:t>
      </w:r>
      <w:r>
        <w:t xml:space="preserve">: dịch chuyển từ TP = 49,37% (2012) xuống TP = 47,19% (2024) là không đáng kể về mặt thống kê.</w:t>
      </w:r>
    </w:p>
    <w:p>
      <w:pPr>
        <w:pStyle w:val="BodyText"/>
      </w:pPr>
      <w:r>
        <w:t xml:space="preserve">Kiểm định tương tác theo thời gian (H6 về dị biệt thời gian):</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cũng không có ý nghĩa thống kê, nghĩa là hình dạng tổng thể của quan hệ phi tuyến không biến đổi đáng kể qua giai đoạn phân tích.</w:t>
      </w:r>
    </w:p>
    <w:p>
      <w:pPr>
        <w:pStyle w:val="BodyText"/>
      </w:pPr>
      <w:r>
        <w:t xml:space="preserve">Phát hiện này trái với H6 trong khung lý thuyết, song lại có giá trị riêng. Nó cho thấy ở một bối cảnh Upper-middle như Trung Quốc, dù có nhiều biến động về chính sách và môi trường kinh doanh, cơ chế căn bản của quan hệ giữa quốc tế hóa và hiệu quả hoạt động vẫn duy trì tính ổn định đáng kể. Điều này có thể phản ánh sự bù trừ giữa các lực: chi phí thích ứng tăng lên do chính sách thương mại khó đoán có thể được bù đắp bởi năng lực tổ chức ngày càng trưởng thành của các doanh nghiệp xuất khẩu Trung Quốc.</w:t>
      </w:r>
    </w:p>
    <w:bookmarkEnd w:id="31"/>
    <w:bookmarkStart w:id="32" w:name="vai-trò-của-tci-và-dai"/>
    <w:p>
      <w:pPr>
        <w:pStyle w:val="Heading3"/>
      </w:pPr>
      <w:r>
        <w:t xml:space="preserve">4.3.3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(điều tiết bằng không,</w:t>
      </w:r>
      <w:r>
        <w:t xml:space="preserve"> </w:t>
      </w:r>
      <m:oMath>
        <m:r>
          <m:t>p</m:t>
        </m:r>
        <m:r>
          <m:rPr>
            <m:sty m:val="p"/>
          </m:rPr>
          <m:t>&gt;</m:t>
        </m:r>
        <m:r>
          <m:rPr>
            <m:sty m:val="p"/>
          </m:rPr>
          <m:t>,</m:t>
        </m:r>
        <m:r>
          <m:t>10</m:t>
        </m:r>
      </m:oMath>
      <w:r>
        <w:t xml:space="preserve">), cho thấy chỉ số năng lực công nghệ không phát huy vai trò điều tiết đáng kể ở bối cảnh Trung Quốc theo mô hình P5. DAI cũng không cho thấy điều tiết có ý nghĩa trong bối cảnh này. Kết quả điều tiết bằng không tại Trung Quốc có thể phản ánh thực tế rằng năng lực công nghệ đã được phân phối tương đối đồng đều hơn trong mẫu doanh nghiệp xuất khẩu Trung Quốc, làm giảm phương sai đến mức không đủ để phát hiện hiệu ứng điều tiết.</w:t>
      </w:r>
    </w:p>
    <w:p>
      <w:r>
        <w:pict>
          <v:rect style="width:0;height:1.5pt" o:hralign="center" o:hrstd="t" o:hr="t"/>
        </w:pict>
      </w:r>
    </w:p>
    <w:bookmarkEnd w:id="32"/>
    <w:bookmarkEnd w:id="33"/>
    <w:bookmarkStart w:id="38" w:name="Xdbd5cc67084304ba85b73781c0cb0c00b74055b"/>
    <w:p>
      <w:pPr>
        <w:pStyle w:val="Heading2"/>
      </w:pPr>
      <w:r>
        <w:t xml:space="preserve">4.4 Kết quả bối cảnh chuyển đổi bậc thấp—trung: Việt Nam (P3)</w:t>
      </w:r>
    </w:p>
    <w:bookmarkStart w:id="34" w:name="Xfa9060265c18c079d3fb45cfff0778bcd89c27e"/>
    <w:p>
      <w:pPr>
        <w:pStyle w:val="Heading3"/>
      </w:pPr>
      <w:r>
        <w:t xml:space="preserve">4.4.1 Xác nhận quan hệ phi tuyến và hệ số hồi quy</w:t>
      </w:r>
    </w:p>
    <w:p>
      <w:pPr>
        <w:pStyle w:val="FirstParagraph"/>
      </w:pPr>
      <w:r>
        <w:t xml:space="preserve">Phân tích hồi quy dữ liệu bảng (panel regression) trên ba làn sóng khảo sát WBES Việt Nam (2009, 2015, 2023) xác nhận dạng phi tuyến chữ U ngược. Mô hình M4, tức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là bằng chứng thống kê mạnh nhất trong tất cả các mẫu quốc gia của luận án.</w:t>
      </w:r>
    </w:p>
    <w:bookmarkEnd w:id="34"/>
    <w:bookmarkStart w:id="35" w:name="điểm-uốn-theo-làn-sóng"/>
    <w:p>
      <w:pPr>
        <w:pStyle w:val="Heading3"/>
      </w:pPr>
      <w:r>
        <w:t xml:space="preserve">4.4.2 Điểm uốn theo làn sóng</w:t>
      </w:r>
    </w:p>
    <w:p>
      <w:pPr>
        <w:pStyle w:val="FirstParagraph"/>
      </w:pPr>
      <w:r>
        <w:t xml:space="preserve">Điểm uốn được ước lượng riêng cho từng làn sóng và cho toàn mẫu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uốn trong khoảng</w:t>
      </w:r>
      <w:r>
        <w:t xml:space="preserve"> </w:t>
      </w:r>
      <w:r>
        <w:rPr>
          <w:bCs/>
          <w:b/>
        </w:rPr>
        <w:t xml:space="preserve">39–46% FSTS</w:t>
      </w:r>
      <w:r>
        <w:t xml:space="preserve"> </w:t>
      </w:r>
      <w:r>
        <w:t xml:space="preserve">đặt Việt Nam ở mức thấp hơn đáng kể so với Singapore (TP ≈ 82%), tương đương hoặc thấp hơn Trung Quốc (TP ≈ 48,78%). Điều này phản ánh chi phí quốc tế hóa cao hơn trong bối cảnh thể chế chuyển đổi: môi trường thể chế chưa hoàn thiện, cùng khoảng cách pháp lý và rào cản thông tin lớn hơn, khiến điểm uốn dịch sang trái (thấp hơn) trên trục FSTS.</w:t>
      </w:r>
    </w:p>
    <w:p>
      <w:pPr>
        <w:pStyle w:val="BodyText"/>
      </w:pPr>
      <w:r>
        <w:t xml:space="preserve">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 Đây có thể là dấu hiệu của thay đổi trong cấu trúc doanh nghiệp xuất khẩu Việt Nam sau giai đoạn hội nhập WTO và gia nhập nhiều hiệp định thương mại tự do, kéo theo làn sóng gia công xuất khẩu quy mô lớn nhưng biên lợi nhuận ngày càng cạnh tranh.</w:t>
      </w:r>
    </w:p>
    <w:bookmarkEnd w:id="35"/>
    <w:bookmarkStart w:id="36" w:name="điều-tiết-bởi-tci-tích-cực-và-có-ý-nghĩa"/>
    <w:p>
      <w:pPr>
        <w:pStyle w:val="Heading3"/>
      </w:pPr>
      <w:r>
        <w:t xml:space="preserve">4.4.3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nâng cao mặt bằng hiệu quả và khuếch đại tác động tích cực của quốc tế hóa. Nói cách khác, doanh nghiệp Việt Nam có năng lực công nghệ tốt hơn (đo bằng TCI) đạt hiệu quả cao hơn từ quá trình quốc tế hóa, nhất quán với H2 trong khung lý thuyết CDCM.</w:t>
      </w:r>
    </w:p>
    <w:bookmarkEnd w:id="36"/>
    <w:bookmarkStart w:id="37" w:name="điều-tiết-bởi-dai-không-có-ý-nghĩa"/>
    <w:p>
      <w:pPr>
        <w:pStyle w:val="Heading3"/>
      </w:pPr>
      <w:r>
        <w:t xml:space="preserve">4.4.4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gồm Tier-1 DAI do giới hạn đo lường WBES trong các làn sóng này) cho kết quả yếu dương nhưng không có ý nghĩa thống kê. Kết quả này không nhất thiết bác bỏ H3 mà có thể phản ánh hạn chế về đo lường: Tier-1 DAI chỉ nắm bắt mức độ chấp nhận số bề mặt (website, thư điện tử, bán hàng trực tuyến) chứ không đo được chiều sâu năng lực số. Với dữ liệu WBES Việt Nam chỉ cung cấp Tier-1, độ phân giải đo lường không đủ để phát hiện hiệu ứng điều tiết tinh tế hơn.</w:t>
      </w:r>
    </w:p>
    <w:p>
      <w:r>
        <w:pict>
          <v:rect style="width:0;height:1.5pt" o:hralign="center" o:hrstd="t" o:hr="t"/>
        </w:pict>
      </w:r>
    </w:p>
    <w:bookmarkEnd w:id="37"/>
    <w:bookmarkEnd w:id="38"/>
    <w:bookmarkStart w:id="42" w:name="X561afa853383c674354c1acb167a55cae3a018f"/>
    <w:p>
      <w:pPr>
        <w:pStyle w:val="Heading2"/>
      </w:pPr>
      <w:r>
        <w:t xml:space="preserve">4.5 Kết quả kiểm định toàn mẫu đa bối cảnh châu Á (P7)</w:t>
      </w:r>
    </w:p>
    <w:bookmarkStart w:id="39" w:name="mẫu-và-mô-hình-chính"/>
    <w:p>
      <w:pPr>
        <w:pStyle w:val="Heading3"/>
      </w:pPr>
      <w:r>
        <w:t xml:space="preserve">4.5.1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82.302</m:t>
        </m:r>
      </m:oMath>
      <w:r>
        <w:rPr>
          <w:bCs/>
          <w:b/>
        </w:rPr>
        <w:t xml:space="preserve"> </w:t>
      </w:r>
      <w:r>
        <w:rPr>
          <w:bCs/>
          <w:b/>
        </w:rPr>
        <w:t xml:space="preserve">quan sát</w:t>
      </w:r>
      <w:r>
        <w:t xml:space="preserve"> </w:t>
      </w:r>
      <w:r>
        <w:t xml:space="preserve">(mô hình M2 — FSTS bậc hai). Khi bổ sung đầy đủ biến kiểm soát, mẫu hồi quy còn</w:t>
      </w:r>
      <w:r>
        <w:t xml:space="preserve"> </w:t>
      </w:r>
      <m:oMath>
        <m:r>
          <m:t>N</m:t>
        </m:r>
        <m:r>
          <m:rPr>
            <m:sty m:val="p"/>
          </m:rPr>
          <m:t>=</m:t>
        </m:r>
        <m:r>
          <m:t>36.772</m:t>
        </m:r>
      </m:oMath>
      <w:r>
        <w:t xml:space="preserve"> </w:t>
      </w:r>
      <w:r>
        <w:t xml:space="preserve">(M3–M5). Mô hình M5 với hiệu ứng cố định quốc gia và năm, cấu hình mạnh nhất về kiểm soát phương sai không quan sát (</w:t>
      </w:r>
      <m:oMath>
        <m:sSup>
          <m:e>
            <m:r>
              <m:rPr>
                <m:nor/>
                <m:sty m:val="p"/>
              </m:rPr>
              <m:t>adjR</m:t>
            </m:r>
          </m:e>
          <m:sup>
            <m:r>
              <m:t>2</m:t>
            </m:r>
          </m:sup>
        </m:sSup>
        <m:r>
          <m:rPr>
            <m:sty m:val="p"/>
          </m:rPr>
          <m:t>=</m:t>
        </m:r>
        <m:r>
          <m:rPr>
            <m:sty m:val="p"/>
          </m:rPr>
          <m:t>,</m:t>
        </m:r>
        <m:r>
          <m:t>671</m:t>
        </m:r>
      </m:oMath>
      <w:r>
        <w:t xml:space="preserve">), ước lượng điểm uốn tổng thể:</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34,1–39,5% FSTS qua M2–M9, và được xác nhận lại trong mô hình điều tiết ba chiều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w:t>
      </w:r>
    </w:p>
    <w:bookmarkEnd w:id="39"/>
    <w:bookmarkStart w:id="40" w:name="gradient-icrv-xác-nhận-h5"/>
    <w:p>
      <w:pPr>
        <w:pStyle w:val="Heading3"/>
      </w:pPr>
      <w:r>
        <w:t xml:space="preserve">4.5.2 Gradient ICRV — Xác nhận H5</w:t>
      </w:r>
    </w:p>
    <w:p>
      <w:pPr>
        <w:pStyle w:val="FirstParagraph"/>
      </w:pPr>
      <w:r>
        <w:t xml:space="preserve">Kết quả quan trọng nhất của P7 là xác nhận vai trò điều tiết của</w:t>
      </w:r>
      <w:r>
        <w:t xml:space="preserve"> </w:t>
      </w:r>
      <w:r>
        <w:rPr>
          <w:bCs/>
          <w:b/>
        </w:rPr>
        <w:t xml:space="preserve">ICRV</w:t>
      </w:r>
      <w:r>
        <w:t xml:space="preserve"> </w:t>
      </w:r>
      <w:r>
        <w:t xml:space="preserve">đối với</w:t>
      </w:r>
      <w:r>
        <w:t xml:space="preserve"> </w:t>
      </w:r>
      <w:r>
        <w:rPr>
          <w:bCs/>
          <w:b/>
        </w:rPr>
        <w:t xml:space="preserve">độ cong (concavity / biên độ)</w:t>
      </w:r>
      <w:r>
        <w:t xml:space="preserve"> </w:t>
      </w:r>
      <w:r>
        <w:t xml:space="preserve">của hình chữ U ngược, chứ không phải một gradient điểm uốn đơn điệu. Cụ thể, độ cong sâu dần khi chất lượng thể chế suy giảm:</w:t>
      </w:r>
    </w:p>
    <w:p>
      <w:pPr>
        <w:pStyle w:val="BodyText"/>
      </w:pPr>
      <m:oMathPara>
        <m:oMathParaPr>
          <m:jc m:val="center"/>
        </m:oMathParaPr>
        <m:oMath>
          <m:r>
            <m:rPr>
              <m:sty m:val="p"/>
            </m:rPr>
            <m:t>|</m:t>
          </m:r>
          <m:r>
            <m:t> </m:t>
          </m:r>
          <m:sSub>
            <m:e>
              <m:r>
                <m:t>β</m:t>
              </m:r>
            </m:e>
            <m:sub>
              <m:r>
                <m:t>2</m:t>
              </m:r>
            </m:sub>
          </m:sSub>
          <m:d>
            <m:dPr>
              <m:begChr m:val="("/>
              <m:endChr m:val=")"/>
              <m:sepChr m:val=""/>
              <m:grow/>
            </m:dPr>
            <m:e>
              <m:r>
                <m:rPr>
                  <m:nor/>
                  <m:sty m:val="p"/>
                </m:rPr>
                <m:t>Frontier/SIDS</m:t>
              </m:r>
            </m:e>
          </m:d>
          <m:r>
            <m:t> </m:t>
          </m:r>
          <m:r>
            <m:rPr>
              <m:sty m:val="p"/>
            </m:rPr>
            <m:t>|</m:t>
          </m:r>
          <m:r>
            <m:rPr>
              <m:sty m:val="p"/>
            </m:rPr>
            <m:t>&gt;</m:t>
          </m:r>
          <m:r>
            <m:rPr>
              <m:sty m:val="p"/>
            </m:rPr>
            <m:t>|</m:t>
          </m:r>
          <m:r>
            <m:t> </m:t>
          </m:r>
          <m:sSub>
            <m:e>
              <m:r>
                <m:t>β</m:t>
              </m:r>
            </m:e>
            <m:sub>
              <m:r>
                <m:t>2</m:t>
              </m:r>
            </m:sub>
          </m:sSub>
          <m:d>
            <m:dPr>
              <m:begChr m:val="("/>
              <m:endChr m:val=")"/>
              <m:sepChr m:val=""/>
              <m:grow/>
            </m:dPr>
            <m:e>
              <m:r>
                <m:rPr>
                  <m:nor/>
                  <m:sty m:val="p"/>
                </m:rPr>
                <m:t>Upper-middle</m:t>
              </m:r>
            </m:e>
          </m:d>
          <m:r>
            <m:t> </m:t>
          </m:r>
          <m:r>
            <m:rPr>
              <m:sty m:val="p"/>
            </m:rPr>
            <m:t>|</m:t>
          </m:r>
          <m:r>
            <m:rPr>
              <m:sty m:val="p"/>
            </m:rPr>
            <m:t>&gt;</m:t>
          </m:r>
          <m:r>
            <m:rPr>
              <m:sty m:val="p"/>
            </m:rPr>
            <m:t>|</m:t>
          </m:r>
          <m:r>
            <m:t> </m:t>
          </m:r>
          <m:sSub>
            <m:e>
              <m:r>
                <m:t>β</m:t>
              </m:r>
            </m:e>
            <m:sub>
              <m:r>
                <m:t>2</m:t>
              </m:r>
            </m:sub>
          </m:sSub>
          <m:d>
            <m:dPr>
              <m:begChr m:val="("/>
              <m:endChr m:val=")"/>
              <m:sepChr m:val=""/>
              <m:grow/>
            </m:dPr>
            <m:e>
              <m:r>
                <m:rPr>
                  <m:nor/>
                  <m:sty m:val="p"/>
                </m:rPr>
                <m:t>Advanced Innovation</m:t>
              </m:r>
            </m:e>
          </m:d>
          <m:r>
            <m:t> </m:t>
          </m:r>
          <m:r>
            <m:rPr>
              <m:sty m:val="p"/>
            </m:rPr>
            <m:t>|</m:t>
          </m:r>
        </m:oMath>
      </m:oMathPara>
    </w:p>
    <w:p>
      <w:pPr>
        <w:pStyle w:val="FirstParagraph"/>
      </w:pPr>
      <w:r>
        <w:t xml:space="preserve">Khuôn mẫu này nhất quán với dự đoán từ lý thuyết thể chế: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 Điểm uốn theo nhóm là không đồng nhất (khoảng 16–50% FSTS), cụm quanh ~40% và</w:t>
      </w:r>
      <w:r>
        <w:t xml:space="preserve"> </w:t>
      </w:r>
      <w:r>
        <w:rPr>
          <w:bCs/>
          <w:b/>
        </w:rPr>
        <w:t xml:space="preserve">không</w:t>
      </w:r>
      <w:r>
        <w:t xml:space="preserve"> </w:t>
      </w:r>
      <w:r>
        <w:t xml:space="preserve">dịch chuyển đơn điệu theo chất lượng thể chế.</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phân tích tổng hợp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gồm phân tích tổng hợp và phân tích thực nghiệm sơ cấp, cùng chỉ ra gradient ICRV, tạo ra một sự xác nhận chéo độc lập có giá trị.</w:t>
      </w:r>
    </w:p>
    <w:bookmarkEnd w:id="40"/>
    <w:bookmarkStart w:id="41" w:name="điều-tiết-bởi-tci-và-dai-trong-toàn-mẫu"/>
    <w:p>
      <w:pPr>
        <w:pStyle w:val="Heading3"/>
      </w:pPr>
      <w:r>
        <w:t xml:space="preserve">4.5.3 Điều tiết bởi TCI và DAI trong toàn mẫu</w:t>
      </w:r>
    </w:p>
    <w:p>
      <w:pPr>
        <w:numPr>
          <w:ilvl w:val="0"/>
          <w:numId w:val="1003"/>
        </w:numPr>
        <w:pStyle w:val="Compact"/>
      </w:pPr>
      <w:r>
        <w:rPr>
          <w:bCs/>
          <w:b/>
        </w:rPr>
        <w:t xml:space="preserve">TCI</w:t>
      </w:r>
      <w:r>
        <w:t xml:space="preserve">: có ý nghĩa thống kê dương trên toàn mẫu (nâng năng suất khoảng 41% mỗi đơn vị độ lệch chuẩn). Dù vậy, tương tác FSTS×TCI và FSTS²×TCI</w:t>
      </w:r>
      <w:r>
        <w:t xml:space="preserve"> </w:t>
      </w:r>
      <w:r>
        <w:rPr>
          <w:bCs/>
          <w:b/>
        </w:rPr>
        <w:t xml:space="preserve">không có ý nghĩa</w:t>
      </w:r>
      <w:r>
        <w:t xml:space="preserve"> </w:t>
      </w:r>
      <w:r>
        <w:t xml:space="preserve">trên toàn mẫu 45 nền kinh tế. H2 được</w:t>
      </w:r>
      <w:r>
        <w:t xml:space="preserve"> </w:t>
      </w:r>
      <w:r>
        <w:rPr>
          <w:bCs/>
          <w:b/>
        </w:rPr>
        <w:t xml:space="preserve">xác nhận một phần</w:t>
      </w:r>
      <w:r>
        <w:t xml:space="preserve">: TCI là yếu tố nâng mặt bằng năng suất phổ quát, còn vai trò uốn đường cong lại đặc thù theo bối cảnh (chỉ xuất hiện tại P3 Việt Nam).</w:t>
      </w:r>
    </w:p>
    <w:p>
      <w:pPr>
        <w:numPr>
          <w:ilvl w:val="0"/>
          <w:numId w:val="1003"/>
        </w:numPr>
        <w:pStyle w:val="Compact"/>
      </w:pPr>
      <w:r>
        <w:rPr>
          <w:bCs/>
          <w:b/>
        </w:rPr>
        <w:t xml:space="preserve">DAI</w:t>
      </w:r>
      <w:r>
        <w:t xml:space="preserve">: có hiệu ứng trực tiếp dương và có ý nghĩa trên</w:t>
      </w:r>
      <w:r>
        <w:t xml:space="preserve"> </w:t>
      </w:r>
      <w:r>
        <w:rPr>
          <w:bCs/>
          <w:b/>
        </w:rPr>
        <w:t xml:space="preserve">toàn mẫu</w:t>
      </w:r>
      <w:r>
        <w:t xml:space="preserve"> </w:t>
      </w:r>
      <w:r>
        <w:t xml:space="preserve">(</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lợi thế năng suất khoảng 19%).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 </w:t>
      </w:r>
      <w:r>
        <w:t xml:space="preserve">(</w:t>
      </w:r>
      <m:oMath>
        <m:r>
          <m:t>p</m:t>
        </m:r>
        <m:r>
          <m:rPr>
            <m:sty m:val="p"/>
          </m:rPr>
          <m:t>&lt;</m:t>
        </m:r>
        <m:r>
          <m:rPr>
            <m:sty m:val="p"/>
          </m:rPr>
          <m:t>,</m:t>
        </m:r>
        <m:r>
          <m:t>01</m:t>
        </m:r>
      </m:oMath>
      <w:r>
        <w:t xml:space="preserve">). DAI×ICRV (</w:t>
      </w:r>
      <m:oMath>
        <m:r>
          <m:t>p</m:t>
        </m:r>
        <m:r>
          <m:rPr>
            <m:sty m:val="p"/>
          </m:rPr>
          <m:t>=</m:t>
        </m:r>
        <m:r>
          <m:rPr>
            <m:sty m:val="p"/>
          </m:rPr>
          <m:t>,</m:t>
        </m:r>
        <m:r>
          <m:t>049</m:t>
        </m:r>
      </m:oMath>
      <w:r>
        <w:t xml:space="preserve">) xác nhận DAI phát huy hiệu quả mạnh hơn ở các bối cảnh thể chế yếu hơn, nhất quán với CDCM (DAI bù đắp cho khoảng trống thể chế).</w:t>
      </w:r>
    </w:p>
    <w:p>
      <w:pPr>
        <w:pStyle w:val="FirstParagraph"/>
      </w:pPr>
      <w:r>
        <w:t xml:space="preserve">Kết quả P7 vẽ nên một bức tranh tổng thể quan trọng: DAI là hiệu ứng phổ quát trên toàn mẫu, nhưng</w:t>
      </w:r>
      <w:r>
        <w:t xml:space="preserve"> </w:t>
      </w:r>
      <w:r>
        <w:rPr>
          <w:bCs/>
          <w:b/>
        </w:rPr>
        <w:t xml:space="preserve">cơ chế cụ thể</w:t>
      </w:r>
      <w:r>
        <w:t xml:space="preserve"> </w:t>
      </w:r>
      <w:r>
        <w:t xml:space="preserve">(mức độ và hướng điều tiết đường cong) lại phụ thuộc vào bối cảnh ICRV, nhất quán với luận điểm CDCM về nguồn lực tình huống.</w:t>
      </w:r>
    </w:p>
    <w:p>
      <w:r>
        <w:pict>
          <v:rect style="width:0;height:1.5pt" o:hralign="center" o:hrstd="t" o:hr="t"/>
        </w:pict>
      </w:r>
    </w:p>
    <w:bookmarkEnd w:id="41"/>
    <w:bookmarkEnd w:id="42"/>
    <w:bookmarkStart w:id="46" w:name="X42f69945b56833cca239d45dc5864a7be6f74d7"/>
    <w:p>
      <w:pPr>
        <w:pStyle w:val="Heading2"/>
      </w:pPr>
      <w:r>
        <w:t xml:space="preserve">4.6 Kết quả trường hợp biên SIDS — Các nền kinh tế đảo nhỏ đang phát triển (P8)</w:t>
      </w:r>
    </w:p>
    <w:bookmarkStart w:id="43" w:name="đặc-điểm-mẫu-sids"/>
    <w:p>
      <w:pPr>
        <w:pStyle w:val="Heading3"/>
      </w:pPr>
      <w:r>
        <w:t xml:space="preserve">4.6.1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FSTS trung bình = 0,060 (6,0%). Cấu trúc mẫu này phản ánh thực tế kinh tế của các nền kinh tế SIDS: thị trường nội địa nhỏ, nên xuất khẩu không phải là lựa chọn chiến lược chủ động mà thường là phản ứng trước áp lực từ bên ngoài khi nhu cầu nội địa bị giới hạn.</w:t>
      </w:r>
    </w:p>
    <w:bookmarkEnd w:id="43"/>
    <w:bookmarkStart w:id="44" w:name="X305be4308b12f06c15c4aa0bf75053d865f81d7"/>
    <w:p>
      <w:pPr>
        <w:pStyle w:val="Heading3"/>
      </w:pPr>
      <w:r>
        <w:t xml:space="preserve">4.6.2 Hiệu ứng âm đơn điệu — Forced Internationalization Penalty (FIP)</w:t>
      </w:r>
    </w:p>
    <w:p>
      <w:pPr>
        <w:pStyle w:val="FirstParagraph"/>
      </w:pPr>
      <w:r>
        <w:t xml:space="preserve">Đây là phát hiện nổi bật và khác biệt nhất của luận án so với toàn bộ kết quả từ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cho thấy tại các nền kinh tế SIDS, quốc tế hóa càng cao thì hiệu quả hoạt động doanh nghiệp càng</w:t>
      </w:r>
      <w:r>
        <w:t xml:space="preserve"> </w:t>
      </w:r>
      <w:r>
        <w:rPr>
          <w:bCs/>
          <w:b/>
        </w:rPr>
        <w:t xml:space="preserve">thấp hơn</w:t>
      </w:r>
      <w:r>
        <w:t xml:space="preserve">, tức một quan hệ âm đơn điệu. Kết quả này không đi theo dạng chữ U ngược hay đường chữ S như ở mọi bối cảnh khác.</w:t>
      </w:r>
    </w:p>
    <w:p>
      <w:pPr>
        <w:pStyle w:val="BodyText"/>
      </w:pPr>
      <w:r>
        <w:t xml:space="preserve">Trong mẫu chỉ gồm doanh nghiệp đang xuất khẩu,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Với mô hình chỉ có hiệu ứng cố định năm (không có hiệu ứng cố định quốc gia, dùng để kiểm tra độ vững):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236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Ba dạng mô hình đều nhất quán về chiều âm và ý nghĩa thống kê, xác nhận rằng đây không phải là kết quả ngẫu nhiên do đặc thù mô hình.</w:t>
      </w:r>
    </w:p>
    <w:p>
      <w:pPr>
        <w:pStyle w:val="BodyText"/>
      </w:pPr>
      <w:r>
        <w:t xml:space="preserve">Mô hình M2 bổ sung FSTS</w:t>
      </w:r>
      <m:oMath>
        <m:sSup>
          <m:e>
            <m:r>
              <m:t>​</m:t>
            </m:r>
          </m:e>
          <m:sup>
            <m:r>
              <m:t>2</m:t>
            </m:r>
          </m:sup>
        </m:sSup>
      </m:oMath>
      <w:r>
        <w:t xml:space="preserve"> </w:t>
      </w:r>
      <w:r>
        <w:t xml:space="preserve">không cho kết quả có ý nghĩa thống kê, qua đó xác nhận quan hệ là</w:t>
      </w:r>
      <w:r>
        <w:t xml:space="preserve"> </w:t>
      </w:r>
      <w:r>
        <w:rPr>
          <w:bCs/>
          <w:b/>
        </w:rPr>
        <w:t xml:space="preserve">suy giảm đơn điệu</w:t>
      </w:r>
      <w:r>
        <w:t xml:space="preserve">, không có điểm uốn trong phạm vi dữ liệu.</w:t>
      </w:r>
    </w:p>
    <w:bookmarkEnd w:id="44"/>
    <w:bookmarkStart w:id="45" w:name="X1eacd79ea5935ba958f558c7fa8a022614fd635"/>
    <w:p>
      <w:pPr>
        <w:pStyle w:val="Heading3"/>
      </w:pPr>
      <w:r>
        <w:t xml:space="preserve">4.6.3 Giải thích cơ chế Forced Internationalization Penalty</w:t>
      </w:r>
    </w:p>
    <w:p>
      <w:pPr>
        <w:pStyle w:val="FirstParagraph"/>
      </w:pPr>
      <w:r>
        <w:t xml:space="preserve">Luận án này đặt tên cho hiện tượng nói trên là</w:t>
      </w:r>
      <w:r>
        <w:t xml:space="preserve"> </w:t>
      </w:r>
      <w:r>
        <w:rPr>
          <w:bCs/>
          <w:b/>
        </w:rPr>
        <w:t xml:space="preserve">gánh nặng quốc tế hóa bắt buộc (Forced Internationalization Penalty — FIP)</w:t>
      </w:r>
      <w:r>
        <w:t xml:space="preserve">, một khái niệm lý thuyết mới chưa từng xuất hiện trong tài liệu nghiên cứu kinh doanh quốc tế. Cơ chế giải thích gồm ba yếu tố cấu trúc đặc thù của SIDS:</w:t>
      </w:r>
    </w:p>
    <w:p>
      <w:pPr>
        <w:numPr>
          <w:ilvl w:val="0"/>
          <w:numId w:val="1004"/>
        </w:numPr>
      </w:pPr>
      <w:r>
        <w:rPr>
          <w:bCs/>
          <w:b/>
        </w:rPr>
        <w:t xml:space="preserve">Thị trường nội địa quá nhỏ</w:t>
      </w:r>
      <w:r>
        <w:t xml:space="preserve">: doanh nghiệp SIDS buộc phải xuất khẩu không phải vì có lợi thế cạnh tranh, mà vì nhu cầu nội địa không đủ để duy trì hoạt động. Đây là quốc tế hóa bắt buộc, không phải quốc tế hóa chiến lược.</w:t>
      </w:r>
    </w:p>
    <w:p>
      <w:pPr>
        <w:numPr>
          <w:ilvl w:val="0"/>
          <w:numId w:val="1004"/>
        </w:numPr>
      </w:pPr>
      <w:r>
        <w:rPr>
          <w:bCs/>
          <w:b/>
        </w:rPr>
        <w:t xml:space="preserve">Chi phí hậu cần và tiếp cận thị trường cực cao</w:t>
      </w:r>
      <w:r>
        <w:t xml:space="preserve">: vị trí địa lý xa xôi và phân tán của các đảo SIDS tạo ra chi phí vận chuyển, hậu cần và giao dịch xuyên biên giới không tương xứng với giá trị hàng hóa có thể xuất khẩu.</w:t>
      </w:r>
    </w:p>
    <w:p>
      <w:pPr>
        <w:numPr>
          <w:ilvl w:val="0"/>
          <w:numId w:val="1004"/>
        </w:numPr>
      </w:pPr>
      <w:r>
        <w:rPr>
          <w:bCs/>
          <w:b/>
        </w:rPr>
        <w:t xml:space="preserve">Thiếu hỗ trợ thể chế và năng lực xuất khẩu</w:t>
      </w:r>
      <w:r>
        <w:t xml:space="preserve">: môi trường thể chế yếu (thể hiện qua kết quả DAI bằng không trong P7), việc thiếu hỗ trợ chính sách xuất khẩu, cùng năng lực tổ chức hạn chế khiến việc quản lý hoạt động quốc tế hóa vượt quá khả năng của phần lớn doanh nghiệp SIDS.</w:t>
      </w:r>
    </w:p>
    <w:p>
      <w:pPr>
        <w:pStyle w:val="FirstParagraph"/>
      </w:pPr>
      <w:r>
        <w:t xml:space="preserve">Kết quả FIP là đóng góp lý thuyết gốc của luận án, lần đầu tiên được ghi nhận và đặt tên trong tài liệu nghiên cứu về quan hệ giữa quốc tế hóa và hiệu quả hoạt động cho khu vực Thái Bình Dương.</w:t>
      </w:r>
    </w:p>
    <w:p>
      <w:r>
        <w:pict>
          <v:rect style="width:0;height:1.5pt" o:hralign="center" o:hrstd="t" o:hr="t"/>
        </w:pict>
      </w:r>
    </w:p>
    <w:bookmarkEnd w:id="45"/>
    <w:bookmarkEnd w:id="46"/>
    <w:bookmarkStart w:id="47" w:name="tổng-hợp-kết-quả-theo-hệ-giả-thuyết"/>
    <w:p>
      <w:pPr>
        <w:pStyle w:val="Heading2"/>
      </w:pPr>
      <w:r>
        <w:t xml:space="preserve">4.7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(45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(β=+0,172***) và cả hai curvature interactions có ý nghĩa trong P7 (45 nền kinh tế); DAI×ICRV p=.049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(kiểm soát quản trị nội sinh)</w:t>
            </w:r>
          </w:p>
        </w:tc>
        <w:tc>
          <w:tcPr/>
          <w:p>
            <w:pPr>
              <w:pStyle w:val="Compact"/>
              <w:jc w:val="left"/>
            </w:pPr>
            <w:r>
              <w:t xml:space="preserve">Kinh nghiệm/giới tính nhà quản trị nâng mặt bằng (kiểm soát quản trị nội sinh, không điều tiết độ cong)</w:t>
            </w:r>
          </w:p>
        </w:tc>
        <w:tc>
          <w:tcPr/>
          <w:p>
            <w:pPr>
              <w:pStyle w:val="Compact"/>
              <w:jc w:val="left"/>
            </w:pPr>
            <w:r>
              <w:t xml:space="preserve">Hiệu ứng mức trong P7 (nhà quản trị nữ β=+0,202***); đưa vào như biến kiểm soát quản trị nội sinh nhằm bảo vệ tính nhân quả thuần khiết của tương tác Thể chế × Công nghệ</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MARA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47"/>
    <w:bookmarkEnd w:id="48"/>
    <w:bookmarkStart w:id="78" w:name="Xc1ed2bcff80d0fb5b704d4f6dbdf97fdea0e1d7"/>
    <w:p>
      <w:pPr>
        <w:pStyle w:val="Heading1"/>
      </w:pPr>
      <w:r>
        <w:t xml:space="preserve">CHƯƠNG 5: BÀN LUẬN, KẾT LUẬN VÀ HÀM Ý CHÍNH SÁCH</w:t>
      </w:r>
    </w:p>
    <w:p>
      <w:r>
        <w:pict>
          <v:rect style="width:0;height:1.5pt" o:hralign="center" o:hrstd="t" o:hr="t"/>
        </w:pict>
      </w:r>
    </w:p>
    <w:bookmarkStart w:id="49" w:name="giới-thiệu-chương-1"/>
    <w:p>
      <w:pPr>
        <w:pStyle w:val="Heading2"/>
      </w:pPr>
      <w:r>
        <w:t xml:space="preserve">Giới thiệu chương</w:t>
      </w:r>
    </w:p>
    <w:p>
      <w:pPr>
        <w:pStyle w:val="FirstParagraph"/>
      </w:pPr>
      <w:r>
        <w:t xml:space="preserve">Chương 5 tổng hợp và diễn giải kết quả từ Chương 4 dưới lăng kính của khung lý thuyết CDCM và bốn lý thuyết nền (Uppsala, lý thuyết dựa trên nguồn lực, lý thuyết thể chế, lý thuyết tầng lớp lãnh đạo). Cấu trúc chương gồm sáu phần: (i) bàn luận kết quả theo khung lý thuyết; (ii) so sánh với nghiên cứu trước; (iii) đóng góp lý thuyết; (iv) hàm ý chính sách và quản trị; (v) hạn chế và hướng nghiên cứu tương lai; và (vi) kết luận tổng thể của luận án.</w:t>
      </w:r>
    </w:p>
    <w:p>
      <w:r>
        <w:pict>
          <v:rect style="width:0;height:1.5pt" o:hralign="center" o:hrstd="t" o:hr="t"/>
        </w:pict>
      </w:r>
    </w:p>
    <w:bookmarkEnd w:id="49"/>
    <w:bookmarkStart w:id="54" w:name="Xff8cef3ed320f9cf6f3fba4ff558bfed3af19c6"/>
    <w:p>
      <w:pPr>
        <w:pStyle w:val="Heading2"/>
      </w:pPr>
      <w:r>
        <w:t xml:space="preserve">5.1 Bàn luận kết quả theo khung lý thuyết CDCM</w:t>
      </w:r>
    </w:p>
    <w:bookmarkStart w:id="50" w:name="X87949b622680195c8f5649c31ec800d0d4afb82"/>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w:t>
      </w:r>
      <w:r>
        <w:t xml:space="preserve">: cùng một mức độ quốc tế hóa (FSTS) mang lại hiệu quả rất khác nhau tùy thuộc vào chế độ thể chế nơi doanh nghiệp hoạt động. Bằng chứng từ hai nguồn độc lập, gồm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82.302</m:t>
        </m:r>
      </m:oMath>
      <w:r>
        <w:t xml:space="preserve"> </w:t>
      </w:r>
      <w:r>
        <w:t xml:space="preserve">từ 45 nền kinh tế), đều dẫn đến cùng một kết luận: điểm uốn của quan hệ giữa quốc tế hóa và hiệu quả hoạt động</w:t>
      </w:r>
      <w:r>
        <w:t xml:space="preserve"> </w:t>
      </w:r>
      <w:r>
        <w:rPr>
          <w:bCs/>
          <w:b/>
        </w:rPr>
        <w:t xml:space="preserve">sâu dần</w:t>
      </w:r>
      <w:r>
        <w:t xml:space="preserve"> </w:t>
      </w:r>
      <w:r>
        <w:t xml:space="preserve">khi chất lượng thể chế suy giảm: hình chữ U ngược rõ nét nhất ở SIDS/Frontier và phẳng dần về gần tuyến tính ở Advanced Innovation, điểm uốn dao động quanh ~40%. Nói cách khác, nền kinh tế thể chế mạnh hơn đạt đỉnh hiệu quả ở mức FSTS thấp hơn.</w:t>
      </w:r>
    </w:p>
    <w:p>
      <w:pPr>
        <w:pStyle w:val="BodyText"/>
      </w:pPr>
      <w:r>
        <w:t xml:space="preserve">Kết quả này xác nhận H5 và tầng thể chế của khung lý thuyết CDCM một cách thuyết phục: điều kiện biên cho quan hệ giữa quốc tế hóa và hiệu quả hoạt động không do một yếu tố điều tiết đơn lẻ quy định, mà do</w:t>
      </w:r>
      <w:r>
        <w:t xml:space="preserve"> </w:t>
      </w:r>
      <w:r>
        <w:rPr>
          <w:bCs/>
          <w:b/>
        </w:rPr>
        <w:t xml:space="preserve">cả một chế độ thể chế</w:t>
      </w:r>
      <w:r>
        <w:t xml:space="preserve">, được vận hành hóa thành sáu chế độ con ICRV. Lý thuyết thể chế của North (1990) và Khanna và Palepu (2010) dự đoán rằng thể chế định hình chi phí giao dịch và cấu trúc khuyến khích; gradient ICRV chính là biểu hiện thực nghiệm của cơ chế này ở quy mô 45 nền kinh tế châu Á và Thái Bình Dương (P7).</w:t>
      </w:r>
    </w:p>
    <w:p>
      <w:pPr>
        <w:pStyle w:val="BodyText"/>
      </w:pPr>
      <w:r>
        <w:t xml:space="preserve">Về mặt lý thuyết, gradient ICRV có thể được hiểu qua hai cơ chế bổ sung cho nhau. Cơ chế đầu tiên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còn lại là</w:t>
      </w:r>
      <w:r>
        <w:t xml:space="preserve"> </w:t>
      </w:r>
      <w:r>
        <w:rPr>
          <w:bCs/>
          <w:b/>
        </w:rPr>
        <w:t xml:space="preserve">khuếch đại năng lực</w:t>
      </w:r>
      <w:r>
        <w:t xml:space="preserve">: một môi trường thể chế tốt đồng nghĩa với hệ sinh thái dịch vụ hỗ trợ phát triển (hậu cần, tài chính thương mại, tư vấn pháp lý quốc tế), nhờ đó giảm gánh nặng điều phối nội bộ của doanh nghiệp khi mở rộng quốc tế.</w:t>
      </w:r>
    </w:p>
    <w:bookmarkEnd w:id="50"/>
    <w:bookmarkStart w:id="51" w:name="tci-là-năng-lực-nền-tảng-xác-nhận-h2"/>
    <w:p>
      <w:pPr>
        <w:pStyle w:val="Heading3"/>
      </w:pPr>
      <w:r>
        <w:t xml:space="preserve">5.1.2 TCI là Năng Lực Nền Tảng — Xác nhận H2</w:t>
      </w:r>
    </w:p>
    <w:p>
      <w:pPr>
        <w:pStyle w:val="FirstParagraph"/>
      </w:pPr>
      <w:r>
        <w:t xml:space="preserve">Chỉ số năng lực công nghệ (Technological Capability Index — TCI) nhất quán cho thấy</w:t>
      </w:r>
      <w:r>
        <w:t xml:space="preserve"> </w:t>
      </w:r>
      <w:r>
        <w:rPr>
          <w:bCs/>
          <w:b/>
        </w:rPr>
        <w:t xml:space="preserve">hiệu ứng nâng mặt bằng năng suất dương</w:t>
      </w:r>
      <w:r>
        <w:t xml:space="preserve"> </w:t>
      </w:r>
      <w:r>
        <w:t xml:space="preserve">tại tất cả các mẫu (Việt Nam P3, Trung Quốc P5, toàn mẫu P7: tăng khoảng 41% năng suất trên mỗi đơn vị độ lệch chuẩn). TCI chỉ</w:t>
      </w:r>
      <w:r>
        <w:t xml:space="preserve"> </w:t>
      </w:r>
      <w:r>
        <w:rPr>
          <w:bCs/>
          <w:b/>
        </w:rPr>
        <w:t xml:space="preserve">điều tiết hình dạng đường cong</w:t>
      </w:r>
      <w:r>
        <w:t xml:space="preserve"> </w:t>
      </w:r>
      <w:r>
        <w:t xml:space="preserve">ở một bối cảnh quốc gia cụ thể (P3 Việt Nam); trên toàn mẫu P7 (45 nền kinh tế đa dạng thể chế), tương tác FSTS×TCI không có ý nghĩa. H2 được</w:t>
      </w:r>
      <w:r>
        <w:t xml:space="preserve"> </w:t>
      </w:r>
      <w:r>
        <w:rPr>
          <w:bCs/>
          <w:b/>
        </w:rPr>
        <w:t xml:space="preserve">xác nhận một phần</w:t>
      </w:r>
      <w:r>
        <w:t xml:space="preserve">, qua đó khẳng định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mức độ tiếp cận công nghệ nước ngoài, chi tiêu nghiên cứu và phát triển, đổi mới sản phẩm và chứng nhận chất lượng, tạo ra giá trị cao hơn từ cùng một mức độ quốc tế hóa; song vai trò uốn đường cong lại phụ thuộc vào bối cảnh.</w:t>
      </w:r>
    </w:p>
    <w:p>
      <w:pPr>
        <w:pStyle w:val="BodyText"/>
      </w:pPr>
      <w:r>
        <w:t xml:space="preserve">Cơ chế lý thuyết đằng sau kết quả này bắt nguồn từ lý thuyết dựa trên nguồn lực (Barney, 1991): TCI là nguồn lực VRIN (có giá trị, hiếm, khó sao chép, khó thay thế), nên tạo ra lợi thế cạnh tranh bền vững ngay cả khi doanh nghiệp mở rộng ra thị trường nước ngoài với mức độ bất định cao. Năng lực công nghệ cũng hun đúc năng lực hấp thụ (absorptive capacity) (Cohen &amp; Levinthal, 1990), tức khả năng tiếp nhận và tích hợp tri thức từ thị trường nước ngoài, giúp doanh nghiệp học hỏi hiệu quả hơn trong quá trình quốc tế hóa, nhất quán với vòng học hỏi của mô hình Uppsala (Johanson &amp; Vahlne, 1977).</w:t>
      </w:r>
    </w:p>
    <w:bookmarkEnd w:id="51"/>
    <w:bookmarkStart w:id="52" w:name="X27755afda27725d75d6cee82c01fb99e8279a05"/>
    <w:p>
      <w:pPr>
        <w:pStyle w:val="Heading3"/>
      </w:pPr>
      <w:r>
        <w:t xml:space="preserve">5.1.3 DAI là Nguồn Lực Tình Huống — Hỗ trợ một phần H3</w:t>
      </w:r>
    </w:p>
    <w:p>
      <w:pPr>
        <w:pStyle w:val="FirstParagraph"/>
      </w:pPr>
      <w:r>
        <w:t xml:space="preserve">Kết quả về chỉ số chấp nhận số (Digital Adoption Index — DAI) phức tạp và nhiều sắc thái hơn so với TCI. Trên toàn mẫu P7, DAI có hiệu ứng nâng mặt bằng dương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(FSTS×DAI</w:t>
      </w:r>
      <w:r>
        <w:t xml:space="preserve"> </w:t>
      </w:r>
      <m:oMath>
        <m:r>
          <m:t>p</m:t>
        </m:r>
        <m:r>
          <m:rPr>
            <m:sty m:val="p"/>
          </m:rPr>
          <m:t>&lt;</m:t>
        </m:r>
        <m:r>
          <m:rPr>
            <m:sty m:val="p"/>
          </m:rPr>
          <m:t>,</m:t>
        </m:r>
        <m:r>
          <m:t>001</m:t>
        </m:r>
      </m:oMath>
      <w:r>
        <w:t xml:space="preserve">; FSTS²×DAI</w:t>
      </w:r>
      <w:r>
        <w:t xml:space="preserve"> </w:t>
      </w:r>
      <m:oMath>
        <m:r>
          <m:t>p</m:t>
        </m:r>
        <m:r>
          <m:rPr>
            <m:sty m:val="p"/>
          </m:rPr>
          <m:t>&lt;</m:t>
        </m:r>
        <m:r>
          <m:rPr>
            <m:sty m:val="p"/>
          </m:rPr>
          <m:t>,</m:t>
        </m:r>
        <m:r>
          <m:t>01</m:t>
        </m:r>
      </m:oMath>
      <w:r>
        <w:t xml:space="preserve">). Tương tác DAI×ICRV (</w:t>
      </w:r>
      <m:oMath>
        <m:r>
          <m:t>p</m:t>
        </m:r>
        <m:r>
          <m:rPr>
            <m:sty m:val="p"/>
          </m:rPr>
          <m:t>=</m:t>
        </m:r>
        <m:r>
          <m:rPr>
            <m:sty m:val="p"/>
          </m:rPr>
          <m:t>,</m:t>
        </m:r>
        <m:r>
          <m:t>049</m:t>
        </m:r>
      </m:oMath>
      <w:r>
        <w:t xml:space="preserve">) xác nhận DAI mạnh hơn ở bối cảnh thể chế yếu hơn, ngụ ý rằng DAI bù đắp cho thiếu hụt thể chế chứ không khuếch đại lợi thế thể chế sẵn có. Tại Singapore (P4, DAI Tier-1+2), DAI phát huy rõ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 Tại Việt Nam (P3, chỉ Tier-1, ước lượng bằng biến công cụ), kết quả DAI bằng không phản ánh hạn chế đo lường và sai lệch chọn mẫu hơn là một sự bác bỏ H3.</w:t>
      </w:r>
    </w:p>
    <w:p>
      <w:pPr>
        <w:pStyle w:val="BodyText"/>
      </w:pPr>
      <w:r>
        <w:t xml:space="preserve">Kết quả này củng cố lập luận trong khung CDCM rằng DAI là một</w:t>
      </w:r>
      <w:r>
        <w:t xml:space="preserve"> </w:t>
      </w:r>
      <w:r>
        <w:rPr>
          <w:bCs/>
          <w:b/>
        </w:rPr>
        <w:t xml:space="preserve">nguồn lực tình huống</w:t>
      </w:r>
      <w:r>
        <w:t xml:space="preserve"> </w:t>
      </w:r>
      <w:r>
        <w:t xml:space="preserve">(situational resource): hiệu ứng nâng mặt bằng tự thân là phổ quát, nhưng</w:t>
      </w:r>
      <w:r>
        <w:t xml:space="preserve"> </w:t>
      </w:r>
      <w:r>
        <w:rPr>
          <w:bCs/>
          <w:b/>
        </w:rPr>
        <w:t xml:space="preserve">cơ chế và độ lớn</w:t>
      </w:r>
      <w:r>
        <w:t xml:space="preserve"> </w:t>
      </w:r>
      <w:r>
        <w:t xml:space="preserve">của việc điều tiết đường cong lại phụ thuộc vào bối cảnh ICRV. DAI×ICRV (</w:t>
      </w:r>
      <m:oMath>
        <m:r>
          <m:t>p</m:t>
        </m:r>
        <m:r>
          <m:rPr>
            <m:sty m:val="p"/>
          </m:rPr>
          <m:t>=</m:t>
        </m:r>
        <m:r>
          <m:rPr>
            <m:sty m:val="p"/>
          </m:rPr>
          <m:t>,</m:t>
        </m:r>
        <m:r>
          <m:t>049</m:t>
        </m:r>
      </m:oMath>
      <w:r>
        <w:t xml:space="preserve">) cho thấy DAI mạnh hơn ở thể chế yếu, tức</w:t>
      </w:r>
      <w:r>
        <w:t xml:space="preserve"> </w:t>
      </w:r>
      <w:r>
        <w:t xml:space="preserve">“</w:t>
      </w:r>
      <w:r>
        <w:t xml:space="preserve">lá chắn số</w:t>
      </w:r>
      <w:r>
        <w:t xml:space="preserve">”</w:t>
      </w:r>
      <w:r>
        <w:t xml:space="preserve"> </w:t>
      </w:r>
      <w:r>
        <w:t xml:space="preserve">bù đắp cho thiếu hụt thể chế, trái với quan niệm truyền thống cho rằng DAI chỉ khuếch đại lợi thế sẵn có. Đây là điểm phân biệt quan trọng giữa TCI (năng lực nền tảng phổ quát) và DAI (nguồn lực tình huống với cơ chế phụ thuộc bối cảnh) trong đóng góp lý thuyết của luận án.</w:t>
      </w:r>
    </w:p>
    <w:p>
      <w:pPr>
        <w:pStyle w:val="BodyText"/>
      </w:pPr>
      <w:r>
        <w:t xml:space="preserve">Kết quả DAI bằng không tại Việt Nam (P3) phản ánh hạn chế đo lường (chỉ Tier-1, kèm sai lệch chọn mẫu trong ước lượng biến công cụ) hơn là một sự bác bỏ H3. Khi DAI được đo bằng Tier-1+2 như tại Singapore, hiệu ứng điều tiết xuất hiện rõ ràng hơn. Tất cả thước đo DAI trong luận án đều là</w:t>
      </w:r>
      <w:r>
        <w:t xml:space="preserve"> </w:t>
      </w:r>
      <w:r>
        <w:rPr>
          <w:bCs/>
          <w:b/>
        </w:rPr>
        <w:t xml:space="preserve">chỉ số chấp nhận số tĩnh</w:t>
      </w:r>
      <w:r>
        <w:t xml:space="preserve">, không phải năng lực số động, bởi dữ liệu WBES không có đủ thang đo để nắm bắt tính động.</w:t>
      </w:r>
    </w:p>
    <w:bookmarkEnd w:id="52"/>
    <w:bookmarkStart w:id="53" w:name="Xfdc4f05762204c1e9501761a1ebcb843f9171c3"/>
    <w:p>
      <w:pPr>
        <w:pStyle w:val="Heading3"/>
      </w:pPr>
      <w:r>
        <w:t xml:space="preserve">5.1.4 FIP là Điều Kiện Biên Cực Đoan — H1b cho SIDS</w:t>
      </w:r>
    </w:p>
    <w:p>
      <w:pPr>
        <w:pStyle w:val="FirstParagraph"/>
      </w:pPr>
      <w:r>
        <w:t xml:space="preserve">Gánh nặng quốc tế hóa bắt buộc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nhóm chỉ gồm doanh nghiệp xuất khẩu) đại diện cho một điều kiện biên mà phiên bản ban đầu của CDCM chưa dự báo trọn vẹn.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Khi đó, quốc tế hóa không chỉ dừng ở chỗ không mang lại lợi ích mà còn gây tổn hại thực sự cho hiệu quả doanh nghiệp.</w:t>
      </w:r>
    </w:p>
    <w:p>
      <w:pPr>
        <w:pStyle w:val="BodyText"/>
      </w:pPr>
      <w:r>
        <w:t xml:space="preserve">Quan hệ âm đơn điệu này khác về bản chất so với quan hệ phi tuyến chữ U ngược: không có điểm uốn trong phạm vi dữ liệu, nghĩa là trong điều kiện hiện tại không có mức FSTS nào để doanh nghiệp SIDS tận dụng nhằm cải thiện hiệu quả thông qua xuất khẩu. Đây là một ranh giới lý thuyết quan trọng cho các mô hình phi tuyến phổ quát trong tài liệu nghiên cứu về quan hệ giữa quốc tế hóa và hiệu quả hoạt động.</w:t>
      </w:r>
    </w:p>
    <w:p>
      <w:r>
        <w:pict>
          <v:rect style="width:0;height:1.5pt" o:hralign="center" o:hrstd="t" o:hr="t"/>
        </w:pict>
      </w:r>
    </w:p>
    <w:bookmarkEnd w:id="53"/>
    <w:bookmarkEnd w:id="54"/>
    <w:bookmarkStart w:id="58" w:name="so-sánh-với-nghiên-cứu-trước-đây"/>
    <w:p>
      <w:pPr>
        <w:pStyle w:val="Heading2"/>
      </w:pPr>
      <w:r>
        <w:t xml:space="preserve">5.2 So sánh với nghiên cứu trước đây</w:t>
      </w:r>
    </w:p>
    <w:bookmarkStart w:id="55" w:name="nhất-quán-với-mức-tham-chiếu-icbef-2024"/>
    <w:p>
      <w:pPr>
        <w:pStyle w:val="Heading3"/>
      </w:pPr>
      <w:r>
        <w:t xml:space="preserve">5.2.1 Nhất quán với mức tham chiếu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tham chiếu đã công bố tại hội nghị ICBEF 2024 (Đỗ &amp; Phan, 2024). Sự hội tụ này đáng chú ý vì P6 mở rộng tập nghiên cứu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tổng hợp khi mở rộng tập nghiên cứu là bằng chứng về độ ổn định của ước lượng tham chiếu.</w:t>
      </w:r>
    </w:p>
    <w:p>
      <w:pPr>
        <w:pStyle w:val="BodyText"/>
      </w:pPr>
      <w:r>
        <w:t xml:space="preserve">Tuy nhiên, đóng góp của P6 so với mức tham chiếu không nằm ở giá trị</w:t>
      </w:r>
      <w:r>
        <w:t xml:space="preserve"> </w:t>
      </w:r>
      <m:oMath>
        <m:r>
          <m:t>r</m:t>
        </m:r>
      </m:oMath>
      <w:r>
        <w:t xml:space="preserve"> </w:t>
      </w:r>
      <w:r>
        <w:t xml:space="preserve">tổng hợp mà ở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dị biệt trong tài liệu nghiên cứu: vấn đề chủ yếu là</w:t>
      </w:r>
      <w:r>
        <w:t xml:space="preserve"> </w:t>
      </w:r>
      <w:r>
        <w:rPr>
          <w:bCs/>
          <w:b/>
        </w:rPr>
        <w:t xml:space="preserve">đo lường bên trong từng nghiên cứu</w:t>
      </w:r>
      <w:r>
        <w:t xml:space="preserve">, chứ không phải sự bất đồng căn bản giữa các nghiên cứu.</w:t>
      </w:r>
    </w:p>
    <w:bookmarkEnd w:id="55"/>
    <w:bookmarkStart w:id="5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giữa quốc tế hóa và hiệu quả hoạt động. Lu và Beamish (2004) tìm thấy điểm uốn khoảng 60% FSTS trong mẫu doanh nghiệp Nhật Bản, còn Contractor et al. (2003) đề xuất đường chữ S ba giai đoạn. Luận án này vượt qua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vào bối cảnh ICRV: từ TP ≈ 82% (Singapore — Advanced Innovation) đến TP ≈ 39,7% (Việt Nam toàn mẫu — Lower-mid Transition), với Trung Quốc ở mức trung gian (TP ≈ 48,78%). Không tồn tại một điểm uốn phổ quát cho mọi bối cảnh.</w:t>
      </w:r>
    </w:p>
    <w:p>
      <w:pPr>
        <w:pStyle w:val="BodyText"/>
      </w:pPr>
      <w:r>
        <w:t xml:space="preserve">Bên cạnh đó, luận án xác định trường hợp biên FIP tại SIDS, không phải đường chữ S hay chữ U ngược mà là một quan hệ âm đơn điệu, điều mà cả lý thuyết ba giai đoạn lẫn đường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vốn là bối cảnh còn ít được đại diện trong tài liệu nghiên cứu của Lu và Beamish.</w:t>
      </w:r>
    </w:p>
    <w:bookmarkEnd w:id="56"/>
    <w:bookmarkStart w:id="57" w:name="X7d417abcca377c053c807a61872538ebbcf35bb"/>
    <w:p>
      <w:pPr>
        <w:pStyle w:val="Heading3"/>
      </w:pPr>
      <w:r>
        <w:t xml:space="preserve">5.2.3 Mở rộng Marano et al. (2016) — ICRV thay thế binary institutional quality</w:t>
      </w:r>
    </w:p>
    <w:p>
      <w:pPr>
        <w:pStyle w:val="FirstParagraph"/>
      </w:pPr>
      <w:r>
        <w:t xml:space="preserve">Marano et al. (2016) là phân tích tổng hợp quan trọng nhất trong tài liệu nghiên cứu gần đây, cung cấp bằng chứng về vai trò điều tiết của thể chế quốc gia gốc trong quan hệ giữa quốc tế hóa và hiệu quả hoạt động. Dù vậy, Marano et al. chỉ dùng cách phân loại nhị phân (phát triển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chế độ con ICRV nắm bắt được sự đa dạng trong nội bộ nhóm</w:t>
      </w:r>
      <w:r>
        <w:t xml:space="preserve"> </w:t>
      </w:r>
      <w:r>
        <w:t xml:space="preserve">“</w:t>
      </w:r>
      <w:r>
        <w:t xml:space="preserve">mới nổi</w:t>
      </w:r>
      <w:r>
        <w:t xml:space="preserve">”</w:t>
      </w:r>
      <w:r>
        <w:t xml:space="preserve"> </w:t>
      </w:r>
      <w:r>
        <w:t xml:space="preserve">(phân biệt Upper-middle Trung Quốc với Lower-mid Việt Nam, với Frontier Bangladesh và SIDS) và nhóm</w:t>
      </w:r>
      <w:r>
        <w:t xml:space="preserve"> </w:t>
      </w:r>
      <w:r>
        <w:t xml:space="preserve">“</w:t>
      </w:r>
      <w:r>
        <w:t xml:space="preserve">tiên tiến</w:t>
      </w:r>
      <w:r>
        <w:t xml:space="preserve">”</w:t>
      </w:r>
      <w:r>
        <w:t xml:space="preserve"> </w:t>
      </w:r>
      <w:r>
        <w:t xml:space="preserve">(phân biệt Advanced Innovation Singapore với Advanced Resource GCC). Cách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p>
      <w:r>
        <w:pict>
          <v:rect style="width:0;height:1.5pt" o:hralign="center" o:hrstd="t" o:hr="t"/>
        </w:pict>
      </w:r>
    </w:p>
    <w:bookmarkEnd w:id="57"/>
    <w:bookmarkEnd w:id="58"/>
    <w:bookmarkStart w:id="62" w:name="đóng-góp-lý-thuyết"/>
    <w:p>
      <w:pPr>
        <w:pStyle w:val="Heading2"/>
      </w:pPr>
      <w:r>
        <w:t xml:space="preserve">5.3 Đóng góp lý thuyết</w:t>
      </w:r>
    </w:p>
    <w:bookmarkStart w:id="59" w:name="X4802e963abe3ec5c839018e4bde5df0619b8021"/>
    <w:p>
      <w:pPr>
        <w:pStyle w:val="Heading3"/>
      </w:pPr>
      <w:r>
        <w:t xml:space="preserve">5.3.1 CDCM — Mở rộng khung lý thuyết về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Việc DAI có hiệu ứng nâng mặt bằng phổ quát (β=+0.155, p&lt;.001, mẫu gộp N=82,302 từ 45 nền kinh tế) nhưng vai trò điều tiết đường cong lại</w:t>
      </w:r>
      <w:r>
        <w:t xml:space="preserve"> </w:t>
      </w:r>
      <w:r>
        <w:rPr>
          <w:bCs/>
          <w:b/>
        </w:rPr>
        <w:t xml:space="preserve">phụ thuộc bối cảnh</w:t>
      </w:r>
      <w:r>
        <w:t xml:space="preserve"> </w:t>
      </w:r>
      <w:r>
        <w:t xml:space="preserve">(DAI×ICRV: p=.049) gợi ý rằng DAI không phải năng lực nền tảng như TCI, mà là một</w:t>
      </w:r>
      <w:r>
        <w:t xml:space="preserve"> </w:t>
      </w:r>
      <w:r>
        <w:rPr>
          <w:bCs/>
          <w:b/>
        </w:rPr>
        <w:t xml:space="preserve">nguồn lực tình huống</w:t>
      </w:r>
      <w:r>
        <w:t xml:space="preserve">, tức nguồn lực có vai trò thay đổi theo bối cảnh thể chế. Đáng chú ý, DAI×ICRV (p=.049) cho thấy hiệu ứng điều tiết của DAI</w:t>
      </w:r>
      <w:r>
        <w:t xml:space="preserve"> </w:t>
      </w:r>
      <w:r>
        <w:rPr>
          <w:bCs/>
          <w:b/>
        </w:rPr>
        <w:t xml:space="preserve">mạnh hơn</w:t>
      </w:r>
      <w:r>
        <w:t xml:space="preserve"> </w:t>
      </w:r>
      <w:r>
        <w:t xml:space="preserve">ở các nền kinh tế thể chế yếu hơn (Frontier, SIDS) chứ không phải ở nhóm Advanced; đây chính là</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Phát hiện này mang hàm ý lý thuyết quan trọng cho lý thuyết dựa trên nguồn lực và tài liệu nghiên cứu về năng lực số (Bhandari et al., 2023; Verhoef et al., 2021): không phải mọi nguồn lực số đều tạo ra lợi thế cạnh tranh theo cùng một cơ chế trong mọi bối cảnh. DAI là một tài sản bổ trợ (complementary asset) (Teece, 1986) cho bối cảnh thể chế, nhưng theo chiều</w:t>
      </w:r>
      <w:r>
        <w:t xml:space="preserve"> </w:t>
      </w:r>
      <w:r>
        <w:rPr>
          <w:bCs/>
          <w:b/>
        </w:rPr>
        <w:t xml:space="preserve">nghịch</w:t>
      </w:r>
      <w:r>
        <w:t xml:space="preserve">: DAI hoạt động như tài sản bù đắp trong bối cảnh thể chế yếu, nơi hạ tầng thể chế chưa đủ hỗ trợ doanh nghiệp xuất khẩu. Đây là bằng chứng thực nghiệm bổ sung cho lý thuyết về vai trò thay thế giữa thể chế và năng lực số.</w:t>
      </w:r>
    </w:p>
    <w:p>
      <w:pPr>
        <w:pStyle w:val="BodyText"/>
      </w:pPr>
      <w:r>
        <w:t xml:space="preserve">Cũng cần lưu ý một hạn chế quan trọng: trong toàn bộ luận án, DAI được đo lường dựa trên dữ liệu WBES, vốn có quy mô đo lường hạn chế (không đủ để tạo một thang đo mang tính động). Do đó, DAI ở đây được hiểu là</w:t>
      </w:r>
      <w:r>
        <w:t xml:space="preserve"> </w:t>
      </w:r>
      <w:r>
        <w:rPr>
          <w:bCs/>
          <w:b/>
        </w:rPr>
        <w:t xml:space="preserve">chỉ số chấp nhận số tĩnh</w:t>
      </w:r>
      <w:r>
        <w:t xml:space="preserve">, tức mức độ chấp nhận số tại một thời điểm, chứ không phải năng lực số động theo nghĩa của lý thuyết năng lực động (Teece et al., 1997). Đây là một giới hạn về độ trung thực khái niệm mà các nghiên cứu tương lai cần khắc phục.</w:t>
      </w:r>
    </w:p>
    <w:bookmarkEnd w:id="59"/>
    <w:bookmarkStart w:id="60" w:name="X2d492fa0307aa4991837f2d5dc38e247101178c"/>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(FIP)</w:t>
      </w:r>
      <w:r>
        <w:t xml:space="preserve">, một khái niệm lý thuyết mới chưa từng được định danh trong tài liệu nghiên cứu kinh doanh quốc tế, như một hiện tượng lý thuyết độc lập và khác biệt về bản chất so với</w:t>
      </w:r>
      <w:r>
        <w:t xml:space="preserve"> </w:t>
      </w:r>
      <w:r>
        <w:t xml:space="preserve">“</w:t>
      </w:r>
      <w:r>
        <w:t xml:space="preserve">đoạn dốc xuống của giai đoạn 1</w:t>
      </w:r>
      <w:r>
        <w:t xml:space="preserve">”</w:t>
      </w:r>
      <w:r>
        <w:t xml:space="preserve"> </w:t>
      </w:r>
      <w:r>
        <w:t xml:space="preserve">trong lý thuyết đường chữ S. FIP không phải giai đoạn đầu của quá trình học hỏi (chi phí học hỏi) như mô hình Uppsala dự đoán, mà là một trạng thái cấu trúc bất lợi dài hạn: doanh nghiệp SIDS phải xuất khẩu để tồn tại (do thị trường nội địa quá nhỏ) nhưng lại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nhiều hơn luôn đi kèm hiệu quả kém hơn? Luận án này đề xuất rằng FIP xuất hiện khi ba điều kiện đồng thời thỏa mãn: (i) thể chế ICRV ở mức thấp nhất; (ii) quy mô nền kinh tế quá nhỏ để tạo cơ sở nội địa; và (iii) thiếu hỗ trợ năng lực xuất khẩu từ chính sách. Sự kết hợp của ba điều kiện này tạo ra một cái bẫy quốc tế hóa bắt buộc mà không có điểm uốn nào để thoát ra.</w:t>
      </w:r>
    </w:p>
    <w:bookmarkEnd w:id="60"/>
    <w:bookmarkStart w:id="61" w:name="Xc32e0c91761841c5d26867e9ff33e10da8db64c"/>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chế độ con</w:t>
      </w:r>
      <w:r>
        <w:t xml:space="preserve"> </w:t>
      </w:r>
      <w:r>
        <w:t xml:space="preserve">như một công cụ phân loại thể chế đặc thù cho khu vực châu Á và Thái Bình Dương, thay thế cho các cách phân loại nhị phân (phát triển/mới nổi) hoặc liên tục (điểm WGI) trong tài liệu nghiên cứu hiện hành.</w:t>
      </w:r>
    </w:p>
    <w:p>
      <w:pPr>
        <w:pStyle w:val="BodyText"/>
      </w:pPr>
      <w:r>
        <w:t xml:space="preserve">ICRV nắm bắt được sự đa dạng thể chế chưa từng được vận hành hóa đầy đủ: khác biệt giữa Singapore (Advanced Innovation, kết hợp pháp quyền mạnh và hệ sinh thái đổi mới) với GCC (Advanced Resource, giàu tài nguyên nhưng có hệ sinh thái đổi mới khác biệt), và khác biệt giữa Trung Quốc (Upper-middle, chính phủ can thiệp mạnh), Việt Nam (Lower-mid Transition, đang trong quá trình cải cách) và Bangladesh (Frontier, khoảng trống thể chế lớn). ICRV không chỉ là một khung phân loại mô tả mà còn là khung phân loại</w:t>
      </w:r>
      <w:r>
        <w:t xml:space="preserve"> </w:t>
      </w:r>
      <w:r>
        <w:rPr>
          <w:bCs/>
          <w:b/>
        </w:rPr>
        <w:t xml:space="preserve">dự đoán</w:t>
      </w:r>
      <w:r>
        <w:t xml:space="preserve">: độ cong (concavity / biên độ) của quan hệ I-P sâu dần khi chất lượng thể chế suy giảm, từ gần tuyến tính ở Advanced Innovation đến hình chữ U ngược rõ nét với hình phạt sau đỉnh gay gắt ở SIDS/Frontier, trong khi điểm uốn theo nhóm không đồng nhất và không dịch chuyển đơn điệu; thể chế càng yếu thì hình phạt cho quốc tế hóa quá mức càng gay gắt, qua đó xác nhận giá trị dự đoán của cách phân loại này.</w:t>
      </w:r>
    </w:p>
    <w:p>
      <w:r>
        <w:pict>
          <v:rect style="width:0;height:1.5pt" o:hralign="center" o:hrstd="t" o:hr="t"/>
        </w:pict>
      </w:r>
    </w:p>
    <w:bookmarkEnd w:id="61"/>
    <w:bookmarkEnd w:id="62"/>
    <w:bookmarkStart w:id="66" w:name="hàm-ý-chính-sách-và-quản-trị"/>
    <w:p>
      <w:pPr>
        <w:pStyle w:val="Heading2"/>
      </w:pPr>
      <w:r>
        <w:t xml:space="preserve">5.4 Hàm ý chính sách và quản trị</w:t>
      </w:r>
    </w:p>
    <w:bookmarkStart w:id="63" w:name="Xd93c23a1e505a610f13ec22f0ca64ca9cde13b8"/>
    <w:p>
      <w:pPr>
        <w:pStyle w:val="Heading3"/>
      </w:pPr>
      <w:r>
        <w:t xml:space="preserve">5.4.1 Hàm ý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(qua các chương trình kết nối với công ty đa quốc gia, giảm thuế nhập khẩu công nghệ), khuyến khích nghiên cứu và phát triển, cùng hỗ trợ chứng nhận chất lượng quốc tế sẽ nâng cao TCI của toàn bộ doanh nghiệp trong nền kinh tế. Nhờ đó, đường quan hệ giữa quốc tế hóa và hiệu quả hoạt động dịch chuyển lên trên và điểm uốn có thể mở rộng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cao hơn trước khi chi phí vượt qua lợi ích. Như vậy, cải cách thể chế không chỉ có lợi cho kinh doanh nội địa mà còn mở rộng không gian thu lợi từ xuất khẩu.</w:t>
      </w:r>
    </w:p>
    <w:p>
      <w:pPr>
        <w:pStyle w:val="BodyText"/>
      </w:pPr>
      <w:r>
        <w:t xml:space="preserve">Riêng với Việt Nam, việc điểm uốn dịch chuyển từ 46,2% (2009) xuống 39,3% (2015) là một tín hiệu đáng lo ngại. Nếu điểm uốn tiếp tục dịch sang trái, lợi ích từ xuất khẩu sẽ đạt đỉnh sớm hơn và suy giảm nhanh hơn, có thể do cấu trúc xuất khẩu tập trung vào gia công với biên lợi nhuận mỏng. Chính sách nâng cao giá trị gia tăng trong xuất khẩu (tiến lên chuỗi giá trị) kết hợp với tăng cường TCI có thể giúp đảo ngược xu hướng này.</w:t>
      </w:r>
    </w:p>
    <w:bookmarkEnd w:id="63"/>
    <w:bookmarkStart w:id="64" w:name="X6e5a5fae0f690c2309d7ab6bd8b1448d22b7fd2"/>
    <w:p>
      <w:pPr>
        <w:pStyle w:val="Heading3"/>
      </w:pPr>
      <w:r>
        <w:t xml:space="preserve">5.4.2 Hàm ý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từng bối cảnh:</w:t>
      </w:r>
    </w:p>
    <w:p>
      <w:pPr>
        <w:numPr>
          <w:ilvl w:val="0"/>
          <w:numId w:val="1005"/>
        </w:numPr>
      </w:pPr>
      <w:r>
        <w:rPr>
          <w:bCs/>
          <w:b/>
        </w:rPr>
        <w:t xml:space="preserve">Doanh nghiệp Singapore (Nhóm I)</w:t>
      </w:r>
      <w:r>
        <w:t xml:space="preserve">: điểm uốn TP ≈ 82% cho thấy không gian quốc tế hóa rất rộng. Chiến lược mở rộng quốc tế mạnh mẽ với mức cam kết cao phù hợp với bối cảnh này, nhất là khi kết hợp với DAI cao.</w:t>
      </w:r>
    </w:p>
    <w:p>
      <w:pPr>
        <w:numPr>
          <w:ilvl w:val="0"/>
          <w:numId w:val="1005"/>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5"/>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 việc</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5"/>
        </w:numPr>
      </w:pPr>
      <w:r>
        <w:rPr>
          <w:bCs/>
          <w:b/>
        </w:rPr>
        <w:t xml:space="preserve">Doanh nghiệp SIDS (Nhóm VI)</w:t>
      </w:r>
      <w:r>
        <w:t xml:space="preserve">: kết quả FIP là một cảnh báo nghiêm túc. Đẩy mạnh xuất khẩu trong bối cảnh thiếu năng lực và hỗ trợ thể chế không những không cải thiện mà còn có thể làm xấu đi hiệu quả hoạt động. Doanh nghiệp SIDS nên ưu tiên xây dựng năng lực nội địa và nâng cao TCI trước khi mở rộng xuất khẩu đáng kể.</w:t>
      </w:r>
    </w:p>
    <w:bookmarkEnd w:id="64"/>
    <w:bookmarkStart w:id="65" w:name="X4ce0a0ffad3c7cb51678bbd9e464b3bb85acc26"/>
    <w:p>
      <w:pPr>
        <w:pStyle w:val="Heading3"/>
      </w:pPr>
      <w:r>
        <w:t xml:space="preserve">5.4.3 Hàm ý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p>
      <w:r>
        <w:pict>
          <v:rect style="width:0;height:1.5pt" o:hralign="center" o:hrstd="t" o:hr="t"/>
        </w:pict>
      </w:r>
    </w:p>
    <w:bookmarkEnd w:id="65"/>
    <w:bookmarkEnd w:id="66"/>
    <w:bookmarkStart w:id="71" w:name="hạn-chế-và-hướng-nghiên-cứu-tương-lai"/>
    <w:p>
      <w:pPr>
        <w:pStyle w:val="Heading2"/>
      </w:pPr>
      <w:r>
        <w:t xml:space="preserve">5.5 Hạn chế và hướng nghiên cứu tương lai</w:t>
      </w:r>
    </w:p>
    <w:bookmarkStart w:id="6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một số lượng hạng mục hạn chế để xây dựng chỉ số DAI, và các hạng mục này lại thay đổi qua từng thế hệ lược đồ WBES (PICS3, Standardized, BREADY/BEE). Tại Việt Nam (P3), chỉ có Tier-1 DAI (website, thư điện tử, bán hàng trực tuyến) được sử dụng do hạn chế của các làn sóng 2009 và 2015, trong khi Tier-2 (thanh toán điện tử, nhà cung cấp điện tử) chỉ có từ 2023. Điều này dẫn đến khả năng đo lường không đầy đủ, đặc biệt là không nắm bắt được chiều sâu năng lực số ở bối cảnh ICRV thấp.</w:t>
      </w:r>
    </w:p>
    <w:p>
      <w:pPr>
        <w:pStyle w:val="BodyText"/>
      </w:pPr>
      <w:r>
        <w:t xml:space="preserve">Quan trọng hơn, mọi thước đo DAI đều mang tính</w:t>
      </w:r>
      <w:r>
        <w:t xml:space="preserve"> </w:t>
      </w:r>
      <w:r>
        <w:rPr>
          <w:bCs/>
          <w:b/>
        </w:rPr>
        <w:t xml:space="preserve">tĩnh</w:t>
      </w:r>
      <w:r>
        <w:t xml:space="preserve"> </w:t>
      </w:r>
      <w:r>
        <w:t xml:space="preserve">(tại một thời điểm khảo sát), nên không thể nắm bắt tính</w:t>
      </w:r>
      <w:r>
        <w:t xml:space="preserve"> </w:t>
      </w:r>
      <w:r>
        <w:rPr>
          <w:bCs/>
          <w:b/>
        </w:rPr>
        <w:t xml:space="preserve">động</w:t>
      </w:r>
      <w:r>
        <w:t xml:space="preserve"> </w:t>
      </w:r>
      <w:r>
        <w:t xml:space="preserve">của việc cập nhật và tái cấu hình năng lực số theo thời gian. Như vậy, các phát hiện về DAI trong luận án phản ánh mức độ chấp nhận số tại một thời điểm chứ không phải năng lực số động theo nghĩa của lý thuyết năng lực động (Teece et al., 1997).</w:t>
      </w:r>
    </w:p>
    <w:bookmarkEnd w:id="67"/>
    <w:bookmarkStart w:id="68" w:name="X002467586fd1e54cc3eb9ac5af0bc380c6dff27"/>
    <w:p>
      <w:pPr>
        <w:pStyle w:val="Heading3"/>
      </w:pPr>
      <w:r>
        <w:t xml:space="preserve">5.5.2 Hạn chế về sai lệch chọn mẫu trong các mẫu phụ doanh nghiệp xuất khẩu</w:t>
      </w:r>
    </w:p>
    <w:p>
      <w:pPr>
        <w:pStyle w:val="FirstParagraph"/>
      </w:pPr>
      <w:r>
        <w:t xml:space="preserve">Các phân tích sử dụng mẫu chỉ gồm doanh nghiệp xuất khẩu (chẳng hạn Singapore N = 237, SIDS chỉ gồm doanh nghiệp xuất khẩu N = 187) đối mặt với rủi ro sai lệch chọn mẫu nghiêm trọng: doanh nghiệp xuất khẩu không phải là mẫu ngẫu nhiên từ tổng thể mà nhiều khả năng đã có sẵn một số lợi thế ban đầu (năng suất, nguồn lực, quan hệ). Kết quả từ nhóm chỉ gồm doanh nghiệp xuất khẩu không thể tổng quát hóa trực tiếp cho toàn bộ doanh nghiệp, và có thể đánh giá thấp hoặc đánh giá cao các hiệu ứng tùy theo chiều của sự chọn mẫu.</w:t>
      </w:r>
    </w:p>
    <w:p>
      <w:pPr>
        <w:pStyle w:val="BodyText"/>
      </w:pPr>
      <w:r>
        <w:t xml:space="preserve">Trong các nghiên cứu tương lai, phương pháp Heckman hai bước (hoặc mô hình hiệu ứng can thiệp) có thể khắc phục phần nào hạn chế này bằng cách mô hình hóa quá trình lựa chọn tham gia xuất khẩu như giai đoạn thứ nhất, trước khi ước lượng hiệu quả ở giai đoạn thứ hai.</w:t>
      </w:r>
    </w:p>
    <w:bookmarkEnd w:id="68"/>
    <w:bookmarkStart w:id="69" w:name="hạn-chế-về-nhân-quả"/>
    <w:p>
      <w:pPr>
        <w:pStyle w:val="Heading3"/>
      </w:pPr>
      <w:r>
        <w:t xml:space="preserve">5.5.3 Hạn chế về nhân quả</w:t>
      </w:r>
    </w:p>
    <w:p>
      <w:pPr>
        <w:pStyle w:val="FirstParagraph"/>
      </w:pPr>
      <w:r>
        <w:t xml:space="preserve">Thiết kế cắt ngang (hoặc dữ liệu bảng gộp, nhưng WBES không phải là dữ liệu bảng thực sự theo cùng doanh nghiệp qua thời gian) giới hạn khả năng suy luận nhân quả. Quan hệ giữa quốc tế hóa và hiệu quả hoạt động có thể chịu ảnh hưởng của quan hệ nhân quả ngược: doanh nghiệp hiệu quả hơn thường có nhiều nguồn lực hơn để quốc tế hóa, tạo ra chiều nhân quả ngược lại. Hiệu ứng cố định quốc gia và hiệu ứng cố định năm giúp kiểm soát một phần, song không giải quyết trọn vẹn vấn đề nội sinh.</w:t>
      </w:r>
    </w:p>
    <w:bookmarkEnd w:id="69"/>
    <w:bookmarkStart w:id="70" w:name="hướng-nghiên-cứu-tương-lai"/>
    <w:p>
      <w:pPr>
        <w:pStyle w:val="Heading3"/>
      </w:pPr>
      <w:r>
        <w:t xml:space="preserve">5.5.4 Hướng nghiên cứu tương lai</w:t>
      </w:r>
    </w:p>
    <w:p>
      <w:pPr>
        <w:pStyle w:val="FirstParagraph"/>
      </w:pPr>
      <w:r>
        <w:t xml:space="preserve">Dựa trên các hạn chế trên, luận án này đề xuất bốn hướng nghiên cứu ưu tiên.</w:t>
      </w:r>
    </w:p>
    <w:p>
      <w:pPr>
        <w:pStyle w:val="BodyText"/>
      </w:pPr>
      <w:r>
        <w:t xml:space="preserve">Hướng đầu tiên là xây dựng thước đo DAI phong phú hơn (Tier-2 và Tier-3) trên dữ liệu WBES mới nhất (2023–2026) cùng các nguồn dữ liệu bổ sung (ITU Digital Development Index, OECD Digital Economy Outlook) nhằm kiểm định lại vai trò của DAI ở các bối cảnh ICRV thấp hơn.</w:t>
      </w:r>
    </w:p>
    <w:p>
      <w:pPr>
        <w:pStyle w:val="BodyText"/>
      </w:pPr>
      <w:r>
        <w:t xml:space="preserve">Bên cạnh đó, có thể vận dụng các phương pháp nhận dạng nhân quả: biến công cụ (chẳng hạn dựa vào các cải cách thương mại ngoại sinh như hiệp định thương mại tự do được ký kết), khác biệt trong khác biệt (difference-in-differences), hoặc hồi quy gián đoạn (regression discontinuity) để ước lượng hiệu ứng nhân quả của quốc tế hóa lên hiệu quả.</w:t>
      </w:r>
    </w:p>
    <w:p>
      <w:pPr>
        <w:pStyle w:val="BodyText"/>
      </w:pPr>
      <w:r>
        <w:t xml:space="preserve">Một hướng nữa là mở rộng phân tích FIP tại SIDS bằng các công cụ đo lường và dữ liệu bảng thực sự (theo dõi cùng doanh nghiệp qua nhiều năm), nhằm kiểm định xem FIP là trạng thái cấu trúc dài hạn hay chỉ là giai đoạn tạm thời khi doanh nghiệp SIDS mới bắt đầu xuất khẩu.</w:t>
      </w:r>
    </w:p>
    <w:p>
      <w:pPr>
        <w:pStyle w:val="BodyText"/>
      </w:pPr>
      <w:r>
        <w:t xml:space="preserve">Sau cùng, trong luận án này đặc điểm nhà quản trị cấp cao (H4 — kinh nghiệm, học vấn,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đặc biệt ở bối cảnh Frontier và SIDS nơi tầng năng lực và thể chế yếu hơn, để xem liệu chất lượng quản trị có thể bù đắp một phần cho những thiếu hụt đó hay không.</w:t>
      </w:r>
    </w:p>
    <w:p>
      <w:r>
        <w:pict>
          <v:rect style="width:0;height:1.5pt" o:hralign="center" o:hrstd="t" o:hr="t"/>
        </w:pict>
      </w:r>
    </w:p>
    <w:bookmarkEnd w:id="70"/>
    <w:bookmarkEnd w:id="71"/>
    <w:bookmarkStart w:id="76" w:name="kết-luận-chương-và-luận-án"/>
    <w:p>
      <w:pPr>
        <w:pStyle w:val="Heading2"/>
      </w:pPr>
      <w:r>
        <w:t xml:space="preserve">5.6 Kết luận chương và luận án</w:t>
      </w:r>
    </w:p>
    <w:bookmarkStart w:id="72" w:name="tổng-kết-tám-nghiên-cứu"/>
    <w:p>
      <w:pPr>
        <w:pStyle w:val="Heading3"/>
      </w:pPr>
      <w:r>
        <w:t xml:space="preserve">5.6.1 Tổng kết tám nghiên cứu</w:t>
      </w:r>
    </w:p>
    <w:p>
      <w:pPr>
        <w:pStyle w:val="FirstParagraph"/>
      </w:pPr>
      <w:r>
        <w:t xml:space="preserve">Luận án này được xây dựng trên tám nghiên cứu bổ sung cho nhau, kết hợp bằng chứng từ phân tích tổng hợp và phân tích thực nghiệm sơ cấp:</w:t>
      </w:r>
    </w:p>
    <w:p>
      <w:pPr>
        <w:numPr>
          <w:ilvl w:val="0"/>
          <w:numId w:val="1006"/>
        </w:numPr>
      </w:pPr>
      <w:r>
        <w:rPr>
          <w:bCs/>
          <w:b/>
        </w:rPr>
        <w:t xml:space="preserve">P1 và P2</w:t>
      </w:r>
      <w:r>
        <w:t xml:space="preserve"> </w:t>
      </w:r>
      <w:r>
        <w:t xml:space="preserve">(đã công bố — ICBEF 2024, Đỗ &amp; Phan, 2024): thiết lập mức tham chiếu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6"/>
        </w:numPr>
      </w:pPr>
      <w:r>
        <w:rPr>
          <w:bCs/>
          <w:b/>
        </w:rPr>
        <w:t xml:space="preserve">P3</w:t>
      </w:r>
      <w:r>
        <w:t xml:space="preserve"> </w:t>
      </w:r>
      <w:r>
        <w:t xml:space="preserve">(JABS under review, Đỗ &amp; Phan, 2026): phân tích Việt Nam (Lower-mid Transition), xác nhận chữ U ngược với TP = 39,3–46,2%, trong đó TCI là yếu tố điều tiết dương có ý nghĩa.</w:t>
      </w:r>
    </w:p>
    <w:p>
      <w:pPr>
        <w:numPr>
          <w:ilvl w:val="0"/>
          <w:numId w:val="1006"/>
        </w:numPr>
      </w:pPr>
      <w:r>
        <w:rPr>
          <w:bCs/>
          <w:b/>
        </w:rPr>
        <w:t xml:space="preserve">P4</w:t>
      </w:r>
      <w:r>
        <w:t xml:space="preserve"> </w:t>
      </w:r>
      <w:r>
        <w:t xml:space="preserve">(MIR under review, Đỗ &amp; Phan, 2026): phân tích Singapore (Advanced Innovation), xác nhận inverted-U với TP ≈ 82% (rộng CI), DAI khuếch đại tại mức FSTS cao.</w:t>
      </w:r>
    </w:p>
    <w:p>
      <w:pPr>
        <w:numPr>
          <w:ilvl w:val="0"/>
          <w:numId w:val="1006"/>
        </w:numPr>
      </w:pPr>
      <w:r>
        <w:rPr>
          <w:bCs/>
          <w:b/>
        </w:rPr>
        <w:t xml:space="preserve">P5</w:t>
      </w:r>
      <w:r>
        <w:t xml:space="preserve"> </w:t>
      </w:r>
      <w:r>
        <w:t xml:space="preserve">(IJOEM under review,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6"/>
        </w:numPr>
      </w:pPr>
      <w:r>
        <w:rPr>
          <w:bCs/>
          <w:b/>
        </w:rPr>
        <w:t xml:space="preserve">P6</w:t>
      </w:r>
      <w:r>
        <w:t xml:space="preserve"> </w:t>
      </w:r>
      <w:r>
        <w:t xml:space="preserve">(IBR under review, Đỗ &amp; Phan, 2026):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6"/>
        </w:numPr>
      </w:pPr>
      <w:r>
        <w:rPr>
          <w:bCs/>
          <w:b/>
        </w:rPr>
        <w:t xml:space="preserve">P7</w:t>
      </w:r>
      <w:r>
        <w:t xml:space="preserve"> </w:t>
      </w:r>
      <w:r>
        <w:t xml:space="preserve">(JIBS under revision, Đỗ &amp; Phan, 2026): kiểm định toàn mẫu châu Á và Thái Bình Dương</w:t>
      </w:r>
      <w:r>
        <w:t xml:space="preserve"> </w:t>
      </w:r>
      <m:oMath>
        <m:r>
          <m:t>N</m:t>
        </m:r>
        <m:r>
          <m:rPr>
            <m:sty m:val="p"/>
          </m:rPr>
          <m:t>=</m:t>
        </m:r>
        <m:r>
          <m:t>82.302</m:t>
        </m:r>
      </m:oMath>
      <w:r>
        <w:t xml:space="preserve"> </w:t>
      </w:r>
      <w:r>
        <w:t xml:space="preserve">(M2) /</w:t>
      </w:r>
      <w:r>
        <w:t xml:space="preserve"> </w:t>
      </w:r>
      <m:oMath>
        <m:r>
          <m:t>36.772</m:t>
        </m:r>
      </m:oMath>
      <w:r>
        <w:t xml:space="preserve"> </w:t>
      </w:r>
      <w:r>
        <w:t xml:space="preserve">(M3–M5 với controls), TP = 34,1–39,5% (M11 đầy đủ: TP = 25,7%,</w:t>
      </w:r>
      <w:r>
        <w:t xml:space="preserve"> </w:t>
      </w:r>
      <m:oMath>
        <m:sSub>
          <m:e>
            <m:r>
              <m:t>p</m:t>
            </m:r>
          </m:e>
          <m:sub>
            <m:r>
              <m:rPr>
                <m:nor/>
                <m:sty m:val="p"/>
              </m:rPr>
              <m:t>LM</m:t>
            </m:r>
          </m:sub>
        </m:sSub>
        <m:r>
          <m:rPr>
            <m:sty m:val="p"/>
          </m:rPr>
          <m:t>=</m:t>
        </m:r>
        <m:r>
          <m:rPr>
            <m:sty m:val="p"/>
          </m:rPr>
          <m:t>,</m:t>
        </m:r>
        <m:r>
          <m:t>026</m:t>
        </m:r>
      </m:oMath>
      <w:r>
        <w:t xml:space="preserve">), gradient ICRV xác nhận (độ cong sâu dần khi thể chế yếu đi; điểm uốn ~40%), TCI nâng mặt bằng phổ quát (+45%/SD), DAI điều tiết đường cong có ý nghĩa toàn mẫu và mạnh hơn tại thể chế yếu (DAI×ICRV</w:t>
      </w:r>
      <w:r>
        <w:t xml:space="preserve"> </w:t>
      </w:r>
      <m:oMath>
        <m:r>
          <m:t>p</m:t>
        </m:r>
        <m:r>
          <m:rPr>
            <m:sty m:val="p"/>
          </m:rPr>
          <m:t>=</m:t>
        </m:r>
        <m:r>
          <m:rPr>
            <m:sty m:val="p"/>
          </m:rPr>
          <m:t>,</m:t>
        </m:r>
        <m:r>
          <m:t>049</m:t>
        </m:r>
      </m:oMath>
      <w:r>
        <w:t xml:space="preserve">).</w:t>
      </w:r>
    </w:p>
    <w:p>
      <w:pPr>
        <w:numPr>
          <w:ilvl w:val="0"/>
          <w:numId w:val="1006"/>
        </w:numPr>
      </w:pPr>
      <w:r>
        <w:rPr>
          <w:bCs/>
          <w:b/>
        </w:rPr>
        <w:t xml:space="preserve">P8</w:t>
      </w:r>
      <w:r>
        <w:t xml:space="preserve"> </w:t>
      </w:r>
      <w:r>
        <w:t xml:space="preserve">(World Development under revision,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72"/>
    <w:bookmarkStart w:id="7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và 82.302 doanh nghiệp tại 45 nền kinh tế châu Á và Thái Bình Dương (P7) đều dẫn đến kết luận này. Quan hệ giữa quốc tế hóa và hiệu quả hoạt động không phải một đường cong phổ quát, mà là một</w:t>
      </w:r>
      <w:r>
        <w:t xml:space="preserve"> </w:t>
      </w:r>
      <w:r>
        <w:rPr>
          <w:bCs/>
          <w:b/>
        </w:rPr>
        <w:t xml:space="preserve">họ đường cong phụ thuộc bối cảnh</w:t>
      </w:r>
      <w:r>
        <w:t xml:space="preserve"> </w:t>
      </w:r>
      <w:r>
        <w:t xml:space="preserve">(family of context-dependent curves), trong đó độ cong (concavity / biên độ) là một hàm số</w:t>
      </w:r>
      <w:r>
        <w:t xml:space="preserve"> </w:t>
      </w:r>
      <w:r>
        <w:rPr>
          <w:bCs/>
          <w:b/>
        </w:rPr>
        <w:t xml:space="preserve">tăng dần</w:t>
      </w:r>
      <w:r>
        <w:t xml:space="preserve"> </w:t>
      </w:r>
      <w:r>
        <w:t xml:space="preserve">theo mức độ suy giảm của chất lượng thể chế ICRV: thể chế càng yếu thì hình chữ U ngược càng cong sâu và hình phạt sau đỉnh càng gay gắt, trong khi điểm uốn theo nhóm không đồng nhất và không dịch chuyển đơn điệu.</w:t>
      </w:r>
    </w:p>
    <w:bookmarkEnd w:id="73"/>
    <w:bookmarkStart w:id="7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dòng phân tích tổng hợp về quan hệ giữa quốc tế hóa và hiệu quả hoạt động, qua việc phân tách cấu trúc dị biệt và xác định ICRV là một yếu tố điều tiết có ý nghĩa; (ii) dòng nghiên cứu về năng lực số, qua việc làm rõ DAI là nguồn lực tình huống chứ không phải năng lực nền tảng; và (iii) dòng nghiên cứu về quốc tế hóa và SIDS, qua việc đặt tên và cung cấp bằng chứng đầu tiên cho FIP.</w:t>
      </w:r>
    </w:p>
    <w:p>
      <w:pPr>
        <w:pStyle w:val="BodyText"/>
      </w:pPr>
      <w:r>
        <w:t xml:space="preserve">Về thực tiễn, luận án cung cấp cơ sở để nhà hoạch định chính sách và nhà quản trị doanh nghiệp ở từng bối cảnh ICRV cụ thể hiệu chỉnh chiến lược quốc tế hóa cho phù hợp. Bài học từ Singapore hay Nhật Bản không nên được áp dụng máy móc vào bối cảnh Việt Nam hay SIDS; thay vào đó, cần nhìn nhận sự phụ thuộc bối cảnh như một nguyên lý căn bản trong hoạch định chiến lược quốc tế hóa.</w:t>
      </w:r>
    </w:p>
    <w:bookmarkEnd w:id="74"/>
    <w:bookmarkStart w:id="7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75"/>
    <w:bookmarkEnd w:id="76"/>
    <w:bookmarkStart w:id="77" w:name="X9c0fa5a95aa65503927cbe8b57752b2cbfc3017"/>
    <w:p>
      <w:pPr>
        <w:pStyle w:val="Heading2"/>
      </w:pPr>
      <w:r>
        <w:t xml:space="preserve">Tài liệu tham khảo (trích dẫn trong Chương 4 và 5)</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Journal of Cleaner Production</w:t>
      </w:r>
      <w:r>
        <w:t xml:space="preserve">, 415, 137843.</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 50(8), 1372–1387.</w:t>
      </w:r>
    </w:p>
    <w:p>
      <w:pPr>
        <w:pStyle w:val="BodyText"/>
      </w:pPr>
      <w:r>
        <w:t xml:space="preserve">Borenstein, M., Hedges, L. V., Higgins, J. P. T., &amp; Rothstein, H. R. (2009).</w:t>
      </w:r>
      <w:r>
        <w:t xml:space="preserve"> </w:t>
      </w:r>
      <w:r>
        <w:rPr>
          <w:iCs/>
          <w:i/>
        </w:rPr>
        <w:t xml:space="preserve">Introduction to meta-analysis</w:t>
      </w:r>
      <w:r>
        <w:t xml:space="preserve">. John Wiley &amp; Sons.</w:t>
      </w:r>
    </w:p>
    <w:p>
      <w:pPr>
        <w:pStyle w:val="BodyText"/>
      </w:pPr>
      <w:r>
        <w:t xml:space="preserve">Bustamante, C. V., Moreno-Menéndez, A. M., &amp; Eusse, M. T. (2022). Digital capabilities and international growth of family SMEs.</w:t>
      </w:r>
      <w:r>
        <w:t xml:space="preserve"> </w:t>
      </w:r>
      <w:r>
        <w:rPr>
          <w:iCs/>
          <w:i/>
        </w:rPr>
        <w:t xml:space="preserve">International Business Review</w:t>
      </w:r>
      <w:r>
        <w:t xml:space="preserve">, 31(4), 101985.</w:t>
      </w:r>
    </w:p>
    <w:p>
      <w:pPr>
        <w:pStyle w:val="BodyText"/>
      </w:pPr>
      <w:r>
        <w:t xml:space="preserve">Chen, L., &amp; Meng, B. (2022). How digital finance affects manufacturing firms’ outward FDI: Evidence from China.</w:t>
      </w:r>
      <w:r>
        <w:t xml:space="preserve"> </w:t>
      </w:r>
      <w:r>
        <w:rPr>
          <w:iCs/>
          <w:i/>
        </w:rPr>
        <w:t xml:space="preserve">Journal of International Money and Finance</w:t>
      </w:r>
      <w:r>
        <w:t xml:space="preserve">, 121, 102491.</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 34(1), 5–18.</w:t>
      </w:r>
    </w:p>
    <w:p>
      <w:pPr>
        <w:pStyle w:val="BodyText"/>
      </w:pPr>
      <w:r>
        <w:t xml:space="preserve">Cuervo-Cazurra, A., Luo, Y., Ramamurti, R., &amp; Ang, S. H. (2018). The impact of the home country on internationalization.</w:t>
      </w:r>
      <w:r>
        <w:t xml:space="preserve"> </w:t>
      </w:r>
      <w:r>
        <w:rPr>
          <w:iCs/>
          <w:i/>
        </w:rPr>
        <w:t xml:space="preserve">Journal of World Business</w:t>
      </w:r>
      <w:r>
        <w:t xml:space="preserve">, 53(5), 593–604.</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Hambrick, D. C. (2007). Upper echelons theory: An update.</w:t>
      </w:r>
      <w:r>
        <w:t xml:space="preserve"> </w:t>
      </w:r>
      <w:r>
        <w:rPr>
          <w:iCs/>
          <w:i/>
        </w:rPr>
        <w:t xml:space="preserve">Academy of Management Review</w:t>
      </w:r>
      <w:r>
        <w:t xml:space="preserve">, 32(2), 334–343.</w:t>
      </w:r>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 9(2), 193–206.</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 40(4), 767–798.</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w:t>
      </w:r>
      <w:r>
        <w:t xml:space="preserve">, 40(9), 1411–1431.</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&amp; Moher, D. (2021). The PRISMA 2020 statement: An updated guideline for reporting systematic reviews.</w:t>
      </w:r>
      <w:r>
        <w:t xml:space="preserve"> </w:t>
      </w:r>
      <w:r>
        <w:rPr>
          <w:iCs/>
          <w:i/>
        </w:rPr>
        <w:t xml:space="preserve">BMJ</w:t>
      </w:r>
      <w:r>
        <w:t xml:space="preserve">, 372, n71.</w:t>
      </w:r>
    </w:p>
    <w:p>
      <w:pPr>
        <w:pStyle w:val="BodyText"/>
      </w:pPr>
      <w:r>
        <w:t xml:space="preserve">Peng, M. W. (2003). Institutional transitions and strategic choices.</w:t>
      </w:r>
      <w:r>
        <w:t xml:space="preserve"> </w:t>
      </w:r>
      <w:r>
        <w:rPr>
          <w:iCs/>
          <w:i/>
        </w:rPr>
        <w:t xml:space="preserve">Academy of Management Review</w:t>
      </w:r>
      <w:r>
        <w:t xml:space="preserve">, 28(2), 275–296.</w:t>
      </w:r>
    </w:p>
    <w:p>
      <w:pPr>
        <w:pStyle w:val="BodyText"/>
      </w:pPr>
      <w:r>
        <w:t xml:space="preserve">Post, C., &amp; Byron, K. (2015). Women on boards and firm financial performance: A meta-analysis.</w:t>
      </w:r>
      <w:r>
        <w:t xml:space="preserve"> </w:t>
      </w:r>
      <w:r>
        <w:rPr>
          <w:iCs/>
          <w:i/>
        </w:rPr>
        <w:t xml:space="preserve">Academy of Management Journal</w:t>
      </w:r>
      <w:r>
        <w:t xml:space="preserve">, 58(5), 1546–1571.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Sullivan, D. (1994). Measuring the degree of internationalization of a firm.</w:t>
      </w:r>
      <w:r>
        <w:t xml:space="preserve"> </w:t>
      </w:r>
      <w:r>
        <w:rPr>
          <w:iCs/>
          <w:i/>
        </w:rPr>
        <w:t xml:space="preserve">Journal of International Business Studies</w:t>
      </w:r>
      <w:r>
        <w:t xml:space="preserve">, 25(2), 325–342.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15(6), 285–305.</w:t>
      </w:r>
    </w:p>
    <w:p>
      <w:pPr>
        <w:pStyle w:val="BodyText"/>
      </w:pPr>
      <w:r>
        <w:t xml:space="preserve">Teece, D. J., Pisano, G., &amp; Shuen, A. (1997). Dynamic capabilities and strategic management.</w:t>
      </w:r>
      <w:r>
        <w:t xml:space="preserve"> </w:t>
      </w:r>
      <w:r>
        <w:rPr>
          <w:iCs/>
          <w:i/>
        </w:rPr>
        <w:t xml:space="preserve">Strategic Management Journal</w:t>
      </w:r>
      <w:r>
        <w:t xml:space="preserve">, 18(7), 509–533.</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pPr>
        <w:pStyle w:val="BodyText"/>
      </w:pPr>
      <w:r>
        <w:t xml:space="preserve">Yang, Y., Chen, C., &amp; Yang, H. (2025). Internationalization of digital firms: Systematic review and future research agenda.</w:t>
      </w:r>
      <w:r>
        <w:t xml:space="preserve"> </w:t>
      </w:r>
      <w:r>
        <w:rPr>
          <w:iCs/>
          <w:i/>
        </w:rPr>
        <w:t xml:space="preserve">Journal of International Business Studies</w:t>
      </w:r>
      <w:r>
        <w:t xml:space="preserve">, 56(2), 301–327.</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p>
      <w:pPr>
        <w:pStyle w:val="FirstParagraph"/>
      </w:pPr>
      <w:r>
        <w:rPr>
          <w:iCs/>
          <w:i/>
        </w:rPr>
        <w:t xml:space="preserve">Ghi chú về trích dẫn: Các nghiên cứu P3–P8 được trích dẫn trong luận án dưới dạng</w:t>
      </w:r>
      <w:r>
        <w:rPr>
          <w:iCs/>
          <w:i/>
        </w:rPr>
        <w:t xml:space="preserve"> </w:t>
      </w:r>
      <w:r>
        <w:rPr>
          <w:iCs/>
          <w:i/>
        </w:rPr>
        <w:t xml:space="preserve">“</w:t>
      </w:r>
      <w:r>
        <w:rPr>
          <w:iCs/>
          <w:i/>
        </w:rPr>
        <w:t xml:space="preserve">Đỗ &amp; Phan, 2026, bản thảo đang chuẩn bị</w:t>
      </w:r>
      <w:r>
        <w:rPr>
          <w:iCs/>
          <w:i/>
        </w:rPr>
        <w:t xml:space="preserve">”</w:t>
      </w:r>
      <w:r>
        <w:rPr>
          <w:iCs/>
          <w:i/>
        </w:rPr>
        <w:t xml:space="preserve"> </w:t>
      </w:r>
      <w:r>
        <w:rPr>
          <w:iCs/>
          <w:i/>
        </w:rPr>
        <w:t xml:space="preserve">theo quy định về trích dẫn tài liệu chưa công bố của Trường Kinh tế, Đại học Cần Thơ. Các nghiên cứu P1 và P2 được trích dẫn theo thông tin công bố chính thức (Đỗ &amp; Phan, 2024, ICBEF).</w:t>
      </w:r>
    </w:p>
    <w:bookmarkEnd w:id="77"/>
    <w:bookmarkEnd w:id="7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2026-05-26T17:41:59Z</dcterms:created>
  <dcterms:modified xsi:type="dcterms:W3CDTF">2026-05-26T17:41:59Z</dcterms:modified>
</cp:coreProperties>
</file>

<file path=docProps/custom.xml><?xml version="1.0" encoding="utf-8"?>
<Properties xmlns="http://schemas.openxmlformats.org/officeDocument/2006/custom-properties" xmlns:vt="http://schemas.openxmlformats.org/officeDocument/2006/docPropsVTypes"/>
</file>