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X6b5f457f890892a6024993c4ab9ca614a05a9d8"/>
    <w:p>
      <w:pPr>
        <w:pStyle w:val="Heading2"/>
      </w:pPr>
      <w:r>
        <w:t xml:space="preserve">2.1 GIỚI THIỆU</w:t>
      </w:r>
    </w:p>
    <w:bookmarkStart w:id="27" w:name="Xe52aaf1112e59c4cfcd6bd4d10ff2a675776726"/>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w:t>
      </w:r>
    </w:p>
    <w:p>
      <w:pPr>
        <w:pStyle w:val="BodyText"/>
      </w:pPr>
      <w:r>
        <w:rPr>
          <w:bCs/>
          <w:b/>
        </w:rPr>
        <w:t xml:space="preserve">Ẩn dụ minh họa — Fiji và Singapore</w:t>
      </w:r>
      <w:r>
        <w:t xml:space="preserve">: Trường hợp Fiji 2025 với tỷ lệ website 74,8% vượt Singapore 66,1% là minh chứng rõ nhất cho ranh giới giữa "lý thuyết Uppsala vận hành ở điểm tối ưu" và "lý thuyết Uppsala bị biến dạng ở điều kiện biên". Đối với Fiji và 6 SIDS Pacific khác, số hóa không phải công cụ tối ưu hóa chuỗi cung ứng mà là phương tiện sinh tồn — dẫn vào các luận điểm về điều kiện biên của mô hình U-curve và tiểu cảnh điển hình SIDS Pacific trong phần 2.3.</w:t>
      </w:r>
    </w:p>
    <w:bookmarkEnd w:id="27"/>
    <w:bookmarkStart w:id="28" w:name="Xfbf7d657b2e7a0afef245e3baf59220fad61883"/>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X6d34d90c3ee79c5ab598c7ba95dcae889b6e875"/>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41 nước châu Á thuần</w:t>
      </w:r>
      <w:r>
        <w:t xml:space="preserve">:</w:t>
      </w:r>
    </w:p>
    <w:p>
      <w:pPr>
        <w:numPr>
          <w:ilvl w:val="0"/>
          <w:numId w:val="1006"/>
        </w:numPr>
        <w:pStyle w:val="Compact"/>
      </w:pPr>
      <w:r>
        <w:rPr>
          <w:bCs/>
          <w:b/>
        </w:rPr>
        <w:t xml:space="preserve">(i) Advanced đổi mới sáng tạo dẫn dắt (5 nước)</w:t>
      </w:r>
      <w:r>
        <w:t xml:space="preserve">: Singapore, Hong Kong SAR, Hàn Quốc, Đài Loan, Israel.</w:t>
      </w:r>
    </w:p>
    <w:p>
      <w:pPr>
        <w:numPr>
          <w:ilvl w:val="0"/>
          <w:numId w:val="1006"/>
        </w:numPr>
        <w:pStyle w:val="Compact"/>
      </w:pPr>
      <w:r>
        <w:rPr>
          <w:bCs/>
          <w:b/>
        </w:rPr>
        <w:t xml:space="preserve">(ii) Advanced tài nguyên dẫn dắt (5 nước)</w:t>
      </w:r>
      <w:r>
        <w:t xml:space="preserve">: Saudi Arabia, Qatar, Kuwait, Bahrain, Brunei.</w:t>
      </w:r>
    </w:p>
    <w:p>
      <w:pPr>
        <w:numPr>
          <w:ilvl w:val="0"/>
          <w:numId w:val="1006"/>
        </w:numPr>
        <w:pStyle w:val="Compact"/>
      </w:pPr>
      <w:r>
        <w:rPr>
          <w:bCs/>
          <w:b/>
        </w:rPr>
        <w:t xml:space="preserve">(iii) Trung bình cao — Upper-middle (6 nước)</w:t>
      </w:r>
      <w:r>
        <w:t xml:space="preserve">: Trung Quốc, Malaysia, Thái Lan, Kazakhstan, Armenia, Georgia.</w:t>
      </w:r>
    </w:p>
    <w:p>
      <w:pPr>
        <w:numPr>
          <w:ilvl w:val="0"/>
          <w:numId w:val="1006"/>
        </w:numPr>
        <w:pStyle w:val="Compact"/>
      </w:pPr>
      <w:r>
        <w:rPr>
          <w:bCs/>
          <w:b/>
        </w:rPr>
        <w:t xml:space="preserve">(iv) Đang nổi — Emerging (7 nước)</w:t>
      </w:r>
      <w:r>
        <w:t xml:space="preserve">: Việt Nam, Indonesia, Philippines, Ấn Độ, Sri Lanka, Jordan, Mông Cổ.</w:t>
      </w:r>
    </w:p>
    <w:p>
      <w:pPr>
        <w:numPr>
          <w:ilvl w:val="0"/>
          <w:numId w:val="1006"/>
        </w:numPr>
        <w:pStyle w:val="Compact"/>
      </w:pPr>
      <w:r>
        <w:rPr>
          <w:bCs/>
          <w:b/>
        </w:rPr>
        <w:t xml:space="preserve">(v) Cận biên — Frontier (17 nước)</w:t>
      </w:r>
      <w:r>
        <w:t xml:space="preserve">: Bangladesh, Pakistan, Lào, Campuchia, Myanmar, Nepal, Bhutan, Maldives, Uzbekistan, Tajikistan, Kyrgyz Republic, Turkmenistan, Afghanistan, Timor-Leste, Iraq, Lebanon, Yemen.</w:t>
      </w:r>
    </w:p>
    <w:p>
      <w:pPr>
        <w:pStyle w:val="FirstParagraph"/>
      </w:pPr>
      <w:r>
        <w:rPr>
          <w:bCs/>
          <w:b/>
        </w:rPr>
        <w:t xml:space="preserve">B. Trường hợp biên mở rộng —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X40ede26c0257ae4d88a1ae4b7277e9f0c4d36f7"/>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 "hậu đại dịch kết hợp tăng tốc số".</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X2686b5fe285119b7194d05d8d607138c33c7a34"/>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pStyle w:val="BodyText"/>
      </w:pPr>
      <w:r>
        <w:t xml:space="preserve">(1)</w:t>
      </w:r>
      <w:r>
        <w:t xml:space="preserve"> </w:t>
      </w:r>
      <w:r>
        <w:rPr>
          <w:bCs/>
          <w:b/>
        </w:rPr>
        <w:t xml:space="preserve">Bức tranh thực trạng đa chiều</w:t>
      </w:r>
      <w:r>
        <w:t xml:space="preserve"> </w:t>
      </w:r>
      <w:r>
        <w:t xml:space="preserve">cho hiệu quả doanh nghiệp châu Á 2009–2025 — phạm vi rộng nhất trong văn liệu kinh doanh quốc tế hiện hành (Wu et al., 2022 dừng ở 2020; Arte &amp; Larimo, 2022 dừng ở 2019).</w:t>
      </w:r>
    </w:p>
    <w:p>
      <w:pPr>
        <w:pStyle w:val="BodyText"/>
      </w:pPr>
      <w:r>
        <w:t xml:space="preserve">(2)</w:t>
      </w:r>
      <w:r>
        <w:t xml:space="preserve"> </w:t>
      </w:r>
      <w:r>
        <w:rPr>
          <w:bCs/>
          <w:b/>
        </w:rPr>
        <w:t xml:space="preserve">Phân nhóm con Advanced</w:t>
      </w:r>
      <w:r>
        <w:t xml:space="preserve"> </w:t>
      </w:r>
      <w:r>
        <w:t xml:space="preserve">(innovation-driven so với resource-driven) — phát hiện lý thuyết mới chưa có trong văn liệu hiện hành. Tỷ số phân tán Singapore (1,03) so với Vùng Vịnh (0,49) ≈ 2,1 lần phản ánh hai cơ chế tăng trưởng hoàn toàn khác nhau.</w:t>
      </w:r>
    </w:p>
    <w:p>
      <w:pPr>
        <w:pStyle w:val="BodyText"/>
      </w:pPr>
      <w:r>
        <w:t xml:space="preserve">(3)</w:t>
      </w:r>
      <w:r>
        <w:t xml:space="preserve"> </w:t>
      </w:r>
      <w:r>
        <w:rPr>
          <w:bCs/>
          <w:b/>
        </w:rPr>
        <w:t xml:space="preserve">Nhảy vọt số</w:t>
      </w:r>
      <w:r>
        <w:t xml:space="preserve"> </w:t>
      </w:r>
      <w:r>
        <w:t xml:space="preserve">ở Frontier và Emerging châu Á 2018–2025 — mở rộng pattern từ 17 nước lên 47 nước. Phân tách Tier-1 (website nhị phân, đã bão hòa ở Advanced) và Tier-2 (tổng hợp đa thành phần, đang phát triển ở Emerging/Frontier).</w:t>
      </w:r>
    </w:p>
    <w:p>
      <w:pPr>
        <w:pStyle w:val="BodyText"/>
      </w:pPr>
      <w:r>
        <w:t xml:space="preserve">(4)</w:t>
      </w:r>
      <w:r>
        <w:t xml:space="preserve"> </w:t>
      </w:r>
      <w:r>
        <w:rPr>
          <w:bCs/>
          <w:b/>
        </w:rPr>
        <w:t xml:space="preserve">Bằng chứng cho khung lý thuyết phi tuyến và điều tiết đa tầng</w:t>
      </w:r>
      <w:r>
        <w:t xml:space="preserve"> </w:t>
      </w:r>
      <w:r>
        <w:t xml:space="preserve">— bốn lần đảo dấu xuyên phân nhóm con thể chế là cơ sở thực tiễn cho các giả thuyết của Chuyên đề 2.</w:t>
      </w:r>
    </w:p>
    <w:p>
      <w:pPr>
        <w:pStyle w:val="BodyText"/>
      </w:pPr>
      <w:r>
        <w:rPr>
          <w:bCs/>
          <w:b/>
        </w:rPr>
        <w:t xml:space="preserve">Một đóng góp trường hợp biên mở rộng (SIDS Pacific)</w:t>
      </w:r>
      <w:r>
        <w:t xml:space="preserve">:</w:t>
      </w:r>
    </w:p>
    <w:p>
      <w:pPr>
        <w:pStyle w:val="BodyText"/>
      </w:pPr>
      <w:r>
        <w:t xml:space="preserve">(5)</w:t>
      </w:r>
      <w:r>
        <w:t xml:space="preserve"> </w:t>
      </w:r>
      <w:r>
        <w:rPr>
          <w:bCs/>
          <w:b/>
        </w:rPr>
        <w:t xml:space="preserve">Chi phí buộc phải quốc tế hóa</w:t>
      </w:r>
      <w:r>
        <w:t xml:space="preserve"> </w:t>
      </w:r>
      <w:r>
        <w:t xml:space="preserve">ở 7 SIDS Thái Bình Dương (Briguglio, 1995; Bertram, 2006) — bằng chứng cấp doanh nghiệp đầu tiên trong văn liệu kinh doanh quốc tế. Kiribati 2025 là trường hợp cực đoan nhất với FSTS 1,03%, FDI 0,7%, website 18,7%.</w:t>
      </w:r>
    </w:p>
    <w:p>
      <w:r>
        <w:pict>
          <v:rect style="width:0;height:1.5pt" o:hralign="center" o:hrstd="t" o:hr="t"/>
        </w:pict>
      </w:r>
    </w:p>
    <w:bookmarkEnd w:id="31"/>
    <w:bookmarkEnd w:id="32"/>
    <w:bookmarkStart w:id="33" w:name="X8ba68eb4f47e195906995745687b14136750d53"/>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7"/>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7"/>
        </w:numPr>
      </w:pPr>
      <w:r>
        <w:rPr>
          <w:bCs/>
          <w:b/>
        </w:rPr>
        <w:t xml:space="preserve">Biến FSTS (Foreign Sales to Total Sales)</w:t>
      </w:r>
      <w:r>
        <w:t xml:space="preserve">:</w:t>
      </w:r>
      <w:r>
        <w:t xml:space="preserve"> </w:t>
      </w:r>
      <w:r>
        <w:rPr>
          <w:rStyle w:val="VerbatimChar"/>
        </w:rPr>
        <w:t xml:space="preserve">FSTS = d3c / 100</w:t>
      </w:r>
      <w:r>
        <w:t xml:space="preserve">, trong đó d3c là tỷ lệ doanh thu xuất khẩu trực tiếp trên tổng doanh thu (nhất quán với định nghĩa trong CĐ2 và các bản thảo P3–P5/P7/P8). Quan sát thiếu FSTS được gán bằng 0 nếu doanh nghiệp không xuất khẩu (d3a = "Không"); gán missing nếu không trả lời.</w:t>
      </w:r>
    </w:p>
    <w:p>
      <w:pPr>
        <w:numPr>
          <w:ilvl w:val="0"/>
          <w:numId w:val="1007"/>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7"/>
        </w:numPr>
      </w:pPr>
      <w:r>
        <w:rPr>
          <w:bCs/>
          <w:b/>
        </w:rPr>
        <w:t xml:space="preserve">Biến DAI (Digital Adoption Index)</w:t>
      </w:r>
      <w:r>
        <w:t xml:space="preserve">: Spec 1 (toàn bộ 2009–2025): website nhị phân (c22b/e8) —</w:t>
      </w:r>
      <w:r>
        <w:t xml:space="preserve"> </w:t>
      </w:r>
      <w:r>
        <w:rPr>
          <w:bCs/>
          <w:b/>
        </w:rPr>
        <w:t xml:space="preserve">Tier-1 Sự hiện diện số cơ bản</w:t>
      </w:r>
      <w:r>
        <w:t xml:space="preserve">. Spec 2 (BREADY 2018+ trở lên): tổng hợp chuẩn hóa z website + cường độ thanh toán điện tử (k33/k38) —</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 PICS3/MENA-WBES (2009–2012, n=14.171): bảng hỏi PICS3 cho khu vực Đông Nam Á và Trung Á. Thế hệ 2 — Standardized (2013–2017, n=24.564): áp dụng đồng nhất xuyên toàn cầu từ 2013. Thế hệ 3 —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d3c/100,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 chạy hồi quy với dữ liệu đến 2024, khóa hệ số, kiểm định ổn định với dữ liệu đầy đủ bằng Chow test; (3c) panel hậu đại dịch độc lập — tách 2025 thành tập xác thực ngoài mẫu cho kỷ nguyên hậu COVID và AI.</w:t>
      </w:r>
    </w:p>
    <w:p>
      <w:r>
        <w:pict>
          <v:rect style="width:0;height:1.5pt" o:hralign="center" o:hrstd="t" o:hr="t"/>
        </w:pict>
      </w:r>
    </w:p>
    <w:bookmarkEnd w:id="33"/>
    <w:bookmarkStart w:id="81" w:name="X342156ccfd2c7f5ced860191aa03b7b6d212c37"/>
    <w:p>
      <w:pPr>
        <w:pStyle w:val="Heading2"/>
      </w:pPr>
      <w:r>
        <w:t xml:space="preserve">2.3 NỘI DUNG NGHIÊN CỨU</w:t>
      </w:r>
    </w:p>
    <w:bookmarkStart w:id="40" w:name="X675ab5af00d74d00e27b461f47ed6d6446b9560"/>
    <w:p>
      <w:pPr>
        <w:pStyle w:val="Heading3"/>
      </w:pPr>
      <w:r>
        <w:t xml:space="preserve">2.3.1 Cơ sở lý luận về hiệu quả hoạt động kinh doanh</w:t>
      </w:r>
    </w:p>
    <w:bookmarkStart w:id="34" w:name="Xfe2faeb00cd57cec256c4bcff291c23a776f5c5"/>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 doanh thu, lợi nhuận, tỷ suất sinh lợi; và (b)</w:t>
      </w:r>
      <w:r>
        <w:t xml:space="preserve"> </w:t>
      </w:r>
      <w:r>
        <w:rPr>
          <w:bCs/>
          <w:b/>
        </w:rPr>
        <w:t xml:space="preserve">hiệu quả hoạt động rộng hơn</w:t>
      </w:r>
      <w:r>
        <w:t xml:space="preserve"> </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Xa75a9f34ff92610c157ef90079513d04d170c8a"/>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 chiều này mang tính hỗ trợ thay vì chủ đạo.</w:t>
      </w:r>
    </w:p>
    <w:p>
      <w:pPr>
        <w:pStyle w:val="BodyText"/>
      </w:pPr>
      <w:r>
        <w:rPr>
          <w:bCs/>
          <w:b/>
        </w:rPr>
        <w:t xml:space="preserve">Chiều 3 —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w:t>
      </w:r>
      <w:r>
        <w:t xml:space="preserve">— khả năng duy trì hiệu quả trong dài hạn qua đổi mới và nâng cấp công nghệ.</w:t>
      </w:r>
    </w:p>
    <w:bookmarkEnd w:id="35"/>
    <w:bookmarkStart w:id="36" w:name="X1a2a04b4428c4820c777951f575c66090cb277c"/>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X023773272cef9849c80cde40a684cebab877a2f"/>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 nhưng cần Tier-2 để phát huy đầy đủ.</w:t>
      </w:r>
    </w:p>
    <w:p>
      <w:pPr>
        <w:pStyle w:val="BodyText"/>
      </w:pPr>
      <w:r>
        <w:rPr>
          <w:bCs/>
          <w:b/>
        </w:rPr>
        <w:t xml:space="preserve">Khung 2 —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 Lý thuyết thể chế</w:t>
      </w:r>
      <w:r>
        <w:t xml:space="preserve"> </w:t>
      </w:r>
      <w:r>
        <w:t xml:space="preserve">(North,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 giải thích tại sao Việt Nam và Trung Quốc có gap lớn giữa hai tầng này; (c) khung ICRV 6 nhóm là sự vận hành hóa Lý thuyết thể chế theo hướng này.</w:t>
      </w:r>
    </w:p>
    <w:bookmarkEnd w:id="37"/>
    <w:bookmarkStart w:id="38" w:name="X63cbaa2208af25577c09daed9ed760efcc7cfb8"/>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 —</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774d9b9615147512c4c51af5cf52a38bf7b3508"/>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 "năng lực số" phải hạn chế ở phạm vi</w:t>
      </w:r>
      <w:r>
        <w:t xml:space="preserve"> </w:t>
      </w:r>
      <w:r>
        <w:rPr>
          <w:bCs/>
          <w:b/>
        </w:rPr>
        <w:t xml:space="preserve">Áp dụng số nền tảng (Foundational Digital Adoption — FDA)</w:t>
      </w:r>
      <w:r>
        <w:t xml:space="preserve">.</w:t>
      </w:r>
    </w:p>
    <w:p>
      <w:pPr>
        <w:pStyle w:val="BodyText"/>
      </w:pPr>
      <w:r>
        <w:rPr>
          <w:bCs/>
          <w:b/>
        </w:rPr>
        <w:t xml:space="preserve">Mô hình Năng lực số phụ thuộc bối cảnh (CDCM)</w:t>
      </w:r>
      <w:r>
        <w:t xml:space="preserve"> </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82% FSTS.</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 Tier 1 trở thành điểm nghẽn. Singapore (Tier 1+2) →</w:t>
      </w:r>
      <w:r>
        <w:t xml:space="preserve"> </w:t>
      </w:r>
      <w:r>
        <w:rPr>
          <w:bCs/>
          <w:b/>
        </w:rPr>
        <w:t xml:space="preserve">mở rộng có điều kiện</w:t>
      </w:r>
      <w:r>
        <w:t xml:space="preserve">: tương tác DAI×FSTS² dương mạnh (β=3,119, p=0,005) — Tier 1+2 là đòn bẩy.</w:t>
      </w:r>
    </w:p>
    <w:p>
      <w:pPr>
        <w:pStyle w:val="BodyText"/>
      </w:pPr>
      <w:r>
        <w:rPr>
          <w:bCs/>
          <w:b/>
        </w:rPr>
        <w:t xml:space="preserve">(c) Vai trò TCI</w:t>
      </w:r>
      <w:r>
        <w:t xml:space="preserve">: Việt Nam —</w:t>
      </w:r>
      <w:r>
        <w:t xml:space="preserve"> </w:t>
      </w:r>
      <w:r>
        <w:rPr>
          <w:iCs/>
          <w:i/>
        </w:rPr>
        <w:t xml:space="preserve">lợi thế khan hiếm</w:t>
      </w:r>
      <w:r>
        <w:t xml:space="preserve"> </w:t>
      </w:r>
      <w:r>
        <w:t xml:space="preserve">(TCI z biến công cụ β=1,639, p&lt;0,001, ước lượng 2SLS vững). Singapore —</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39"/>
    <w:bookmarkEnd w:id="40"/>
    <w:bookmarkStart w:id="45" w:name="X98f20b91300399974782a05c423861b6489fac2"/>
    <w:p>
      <w:pPr>
        <w:pStyle w:val="Heading3"/>
      </w:pPr>
      <w:r>
        <w:t xml:space="preserve">2.3.2 Khung phân loại thể chế ICRV</w:t>
      </w:r>
    </w:p>
    <w:bookmarkStart w:id="41" w:name="X242032ba016f4802b7d1f9312ced8dccd339a4f"/>
    <w:p>
      <w:pPr>
        <w:pStyle w:val="Heading4"/>
      </w:pPr>
      <w:r>
        <w:t xml:space="preserve">2.3.2.1 Lý do phân loại</w:t>
      </w:r>
    </w:p>
    <w:p>
      <w:pPr>
        <w:pStyle w:val="FirstParagraph"/>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 nhưng không có nghiên cứu nào thiết lập hệ thống phân loại thể chế toàn diện cho 47 nền kinh tế châu Á. Khung phân loại ICRV (Institutional Context Regime Variation — Biến thiên chế độ thể chế) được đề xuất trong chuyên đề này nhằm lấp khoảng trống đó, dựa trên bốn nguyên tắc:</w:t>
      </w:r>
    </w:p>
    <w:p>
      <w:pPr>
        <w:pStyle w:val="BodyText"/>
      </w:pPr>
      <w:r>
        <w:t xml:space="preserve">(a)</w:t>
      </w:r>
      <w:r>
        <w:t xml:space="preserve"> </w:t>
      </w:r>
      <w:r>
        <w:rPr>
          <w:bCs/>
          <w:b/>
        </w:rPr>
        <w:t xml:space="preserve">Tính phân biệt</w:t>
      </w:r>
      <w:r>
        <w:t xml:space="preserve">: mỗi nhóm phải có mô hình hiệu quả doanh nghiệp khác biệt thực sự — không chỉ khác nhau về mức GDP bình quân đầu người;</w:t>
      </w:r>
    </w:p>
    <w:p>
      <w:pPr>
        <w:pStyle w:val="BodyText"/>
      </w:pPr>
      <w:r>
        <w:t xml:space="preserve">(b)</w:t>
      </w:r>
      <w:r>
        <w:t xml:space="preserve"> </w:t>
      </w:r>
      <w:r>
        <w:rPr>
          <w:bCs/>
          <w:b/>
        </w:rPr>
        <w:t xml:space="preserve">Tính đại diện lý thuyết</w:t>
      </w:r>
      <w:r>
        <w:t xml:space="preserve">: phân loại phải phản ánh được các cơ chế thể chế khác nhau — thể chế đổi mới sáng tạo, thể chế tài nguyên, thể chế chuyển đổi, thể chế MIRAB — theo Varieties of Capitalism (Hall &amp; Soskice, 2001) và Lý thuyết thể chế (North, 1990);</w:t>
      </w:r>
    </w:p>
    <w:p>
      <w:pPr>
        <w:pStyle w:val="BodyTex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p>
      <w:pPr>
        <w:pStyle w:val="BodyText"/>
      </w:pPr>
      <w:r>
        <w:t xml:space="preserve">(d)</w:t>
      </w:r>
      <w:r>
        <w:t xml:space="preserve"> </w:t>
      </w:r>
      <w:r>
        <w:rPr>
          <w:bCs/>
          <w:b/>
        </w:rPr>
        <w:t xml:space="preserve">Tính minh bạch và tái tạo</w:t>
      </w:r>
      <w:r>
        <w:t xml:space="preserve">: tiêu chí phân loại phải rõ ràng và có thể áp dụng nhất quán.</w:t>
      </w:r>
    </w:p>
    <w:bookmarkEnd w:id="41"/>
    <w:bookmarkStart w:id="42" w:name="X5cfc458f0cff94dfd38d9df18032fbc55802577"/>
    <w:p>
      <w:pPr>
        <w:pStyle w:val="Heading4"/>
      </w:pPr>
      <w:r>
        <w:t xml:space="preserve">2.3.2.2 Tiêu chí phân loại sáu nhóm</w:t>
      </w:r>
    </w:p>
    <w:p>
      <w:pPr>
        <w:pStyle w:val="FirstParagraph"/>
      </w:pPr>
      <w:r>
        <w:rPr>
          <w:bCs/>
          <w:b/>
        </w:rPr>
        <w:t xml:space="preserve">Nhóm I —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p>
      <w:pPr>
        <w:pStyle w:val="BodyText"/>
      </w:pPr>
      <w:r>
        <w:rPr>
          <w:bCs/>
          <w:b/>
        </w:rPr>
        <w:t xml:space="preserve">Nhóm II —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độ lệch chuẩn log năng suất thấp (~0,49 — đặc trưng nhà nước tô).</w:t>
      </w:r>
    </w:p>
    <w:p>
      <w:pPr>
        <w:pStyle w:val="BodyText"/>
      </w:pPr>
      <w:r>
        <w:rPr>
          <w:bCs/>
          <w:b/>
        </w:rPr>
        <w:t xml:space="preserve">Nhóm III —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R&amp;D tăng mạnh giai đoạn 2018–2025 (+21,5 điểm phần trăm).</w:t>
      </w:r>
    </w:p>
    <w:p>
      <w:pPr>
        <w:pStyle w:val="BodyText"/>
      </w:pPr>
      <w:r>
        <w:rPr>
          <w:bCs/>
          <w:b/>
        </w:rPr>
        <w:t xml:space="preserve">Nhóm IV — Đang nổi (Emerging)</w:t>
      </w:r>
      <w:r>
        <w:t xml:space="preserve">: WGI Rule of Law -0,50 →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p>
      <w:pPr>
        <w:pStyle w:val="BodyText"/>
      </w:pPr>
      <w:r>
        <w:rPr>
          <w:bCs/>
          <w:b/>
        </w:rPr>
        <w:t xml:space="preserve">Nhóm V —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p>
      <w:pPr>
        <w:pStyle w:val="BodyText"/>
      </w:pPr>
      <w:r>
        <w:rPr>
          <w:bCs/>
          <w:b/>
        </w:rPr>
        <w:t xml:space="preserve">Nhóm VI —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 do MNE du lịch); đổi mới sản phẩm cao nhất (41,5% — đổi mới bằng nguồn lực hạn chế); website cao ngoại trừ Kiribati (18,7%).</w:t>
      </w:r>
    </w:p>
    <w:bookmarkEnd w:id="42"/>
    <w:bookmarkStart w:id="43" w:name="X4d09b9f28b7e56385f03d12ed1cc26cd793028d"/>
    <w:p>
      <w:pPr>
        <w:pStyle w:val="Heading4"/>
      </w:pPr>
      <w:r>
        <w:t xml:space="preserve">2.3.2.3 Danh sách 47 nền kinh tế theo nhóm ICRV</w:t>
      </w:r>
    </w:p>
    <w:p>
      <w:pPr>
        <w:pStyle w:val="FirstParagraph"/>
      </w:pPr>
      <w:r>
        <w:rPr>
          <w:bCs/>
          <w:b/>
        </w:rPr>
        <w:t xml:space="preserve">Bảng 2.3.2.1</w:t>
      </w:r>
      <w:r>
        <w:t xml:space="preserve">.</w:t>
      </w:r>
      <w:r>
        <w:t xml:space="preserve"> </w:t>
      </w:r>
      <w:r>
        <w:rPr>
          <w:iCs/>
          <w:i/>
        </w:rPr>
        <w:t xml:space="preserve">Phân loại 47 nền kinh tế vào 6 nhóm ICRV — tiêu chí và số doanh nghiệp.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Quốc gia</w:t>
            </w:r>
          </w:p>
        </w:tc>
        <w:tc>
          <w:tcPr/>
          <w:p>
            <w:pPr>
              <w:pStyle w:val="Compact"/>
              <w:jc w:val="left"/>
            </w:pPr>
            <w:r>
              <w:t xml:space="preserve">n_firms (ước tính)</w:t>
            </w:r>
          </w:p>
        </w:tc>
      </w:tr>
      <w:tr>
        <w:tc>
          <w:tcPr/>
          <w:p>
            <w:pPr>
              <w:pStyle w:val="Compact"/>
              <w:jc w:val="left"/>
            </w:pPr>
            <w:r>
              <w:rPr>
                <w:bCs/>
                <w:b/>
              </w:rPr>
              <w:t xml:space="preserve">I</w:t>
            </w:r>
          </w:p>
        </w:tc>
        <w:tc>
          <w:tcPr/>
          <w:p>
            <w:pPr>
              <w:pStyle w:val="Compact"/>
              <w:jc w:val="left"/>
            </w:pPr>
            <w:r>
              <w:t xml:space="preserve">Advanced — innovation-driven</w:t>
            </w:r>
          </w:p>
        </w:tc>
        <w:tc>
          <w:tcPr/>
          <w:p>
            <w:pPr>
              <w:pStyle w:val="Compact"/>
              <w:jc w:val="left"/>
            </w:pPr>
            <w:r>
              <w:t xml:space="preserve">Singapore, Hong Kong SAR, Hàn Quốc, Đài Loan, Israel</w:t>
            </w:r>
          </w:p>
        </w:tc>
        <w:tc>
          <w:tcPr/>
          <w:p>
            <w:pPr>
              <w:pStyle w:val="Compact"/>
              <w:jc w:val="left"/>
            </w:pPr>
            <w:r>
              <w:t xml:space="preserve">~4.220</w:t>
            </w:r>
          </w:p>
        </w:tc>
      </w:tr>
      <w:tr>
        <w:tc>
          <w:tcPr/>
          <w:p>
            <w:pPr>
              <w:pStyle w:val="Compact"/>
              <w:jc w:val="left"/>
            </w:pPr>
            <w:r>
              <w:rPr>
                <w:bCs/>
                <w:b/>
              </w:rPr>
              <w:t xml:space="preserve">II</w:t>
            </w:r>
          </w:p>
        </w:tc>
        <w:tc>
          <w:tcPr/>
          <w:p>
            <w:pPr>
              <w:pStyle w:val="Compact"/>
              <w:jc w:val="left"/>
            </w:pPr>
            <w:r>
              <w:t xml:space="preserve">Advanced — resource-driven</w:t>
            </w:r>
          </w:p>
        </w:tc>
        <w:tc>
          <w:tcPr/>
          <w:p>
            <w:pPr>
              <w:pStyle w:val="Compact"/>
              <w:jc w:val="left"/>
            </w:pPr>
            <w:r>
              <w:t xml:space="preserve">Saudi Arabia, Qatar, Kuwait, Bahrain, Brunei</w:t>
            </w:r>
          </w:p>
        </w:tc>
        <w:tc>
          <w:tcPr/>
          <w:p>
            <w:pPr>
              <w:pStyle w:val="Compact"/>
              <w:jc w:val="left"/>
            </w:pPr>
            <w:r>
              <w:t xml:space="preserve">~1.932</w:t>
            </w:r>
          </w:p>
        </w:tc>
      </w:tr>
      <w:tr>
        <w:tc>
          <w:tcPr/>
          <w:p>
            <w:pPr>
              <w:pStyle w:val="Compact"/>
              <w:jc w:val="left"/>
            </w:pPr>
            <w:r>
              <w:rPr>
                <w:bCs/>
                <w:b/>
              </w:rPr>
              <w:t xml:space="preserve">III</w:t>
            </w:r>
          </w:p>
        </w:tc>
        <w:tc>
          <w:tcPr/>
          <w:p>
            <w:pPr>
              <w:pStyle w:val="Compact"/>
              <w:jc w:val="left"/>
            </w:pPr>
            <w:r>
              <w:t xml:space="preserve">Upper-middle</w:t>
            </w:r>
          </w:p>
        </w:tc>
        <w:tc>
          <w:tcPr/>
          <w:p>
            <w:pPr>
              <w:pStyle w:val="Compact"/>
              <w:jc w:val="left"/>
            </w:pPr>
            <w:r>
              <w:t xml:space="preserve">Trung Quốc, Malaysia, Thái Lan, Kazakhstan, Armenia, Georgia</w:t>
            </w:r>
          </w:p>
        </w:tc>
        <w:tc>
          <w:tcPr/>
          <w:p>
            <w:pPr>
              <w:pStyle w:val="Compact"/>
              <w:jc w:val="left"/>
            </w:pPr>
            <w:r>
              <w:t xml:space="preserve">~16.693</w:t>
            </w:r>
          </w:p>
        </w:tc>
      </w:tr>
      <w:tr>
        <w:tc>
          <w:tcPr/>
          <w:p>
            <w:pPr>
              <w:pStyle w:val="Compact"/>
              <w:jc w:val="left"/>
            </w:pPr>
            <w:r>
              <w:rPr>
                <w:bCs/>
                <w:b/>
              </w:rPr>
              <w:t xml:space="preserve">IV</w:t>
            </w:r>
          </w:p>
        </w:tc>
        <w:tc>
          <w:tcPr/>
          <w:p>
            <w:pPr>
              <w:pStyle w:val="Compact"/>
              <w:jc w:val="left"/>
            </w:pPr>
            <w:r>
              <w:t xml:space="preserve">Emerging</w:t>
            </w:r>
          </w:p>
        </w:tc>
        <w:tc>
          <w:tcPr/>
          <w:p>
            <w:pPr>
              <w:pStyle w:val="Compact"/>
              <w:jc w:val="left"/>
            </w:pPr>
            <w:r>
              <w:t xml:space="preserve">Việt Nam, Indonesia, Philippines, Ấn Độ, Sri Lanka, Jordan, Mông Cổ</w:t>
            </w:r>
          </w:p>
        </w:tc>
        <w:tc>
          <w:tcPr/>
          <w:p>
            <w:pPr>
              <w:pStyle w:val="Compact"/>
              <w:jc w:val="left"/>
            </w:pPr>
            <w:r>
              <w:t xml:space="preserve">~47.803</w:t>
            </w:r>
          </w:p>
        </w:tc>
      </w:tr>
      <w:tr>
        <w:tc>
          <w:tcPr/>
          <w:p>
            <w:pPr>
              <w:pStyle w:val="Compact"/>
              <w:jc w:val="left"/>
            </w:pPr>
            <w:r>
              <w:rPr>
                <w:bCs/>
                <w:b/>
              </w:rPr>
              <w:t xml:space="preserve">V</w:t>
            </w:r>
          </w:p>
        </w:tc>
        <w:tc>
          <w:tcPr/>
          <w:p>
            <w:pPr>
              <w:pStyle w:val="Compact"/>
              <w:jc w:val="left"/>
            </w:pPr>
            <w:r>
              <w:t xml:space="preserve">Frontier</w:t>
            </w:r>
          </w:p>
        </w:tc>
        <w:tc>
          <w:tcPr/>
          <w:p>
            <w:pPr>
              <w:pStyle w:val="Compact"/>
              <w:jc w:val="left"/>
            </w:pPr>
            <w:r>
              <w:t xml:space="preserve">Bangladesh, Pakistan, Lào, Campuchia, Myanmar, Nepal, Bhutan, Maldives, Uzbekistan, Tajikistan, Kyrgyz Republic, Turkmenistan, Afghanistan, Timor-Leste, Iraq, Lebanon, Yemen</w:t>
            </w:r>
          </w:p>
        </w:tc>
        <w:tc>
          <w:tcPr/>
          <w:p>
            <w:pPr>
              <w:pStyle w:val="Compact"/>
              <w:jc w:val="left"/>
            </w:pPr>
            <w:r>
              <w:t xml:space="preserve">~28.678</w:t>
            </w:r>
          </w:p>
        </w:tc>
      </w:tr>
      <w:tr>
        <w:tc>
          <w:tcPr/>
          <w:p>
            <w:pPr>
              <w:pStyle w:val="Compact"/>
              <w:jc w:val="left"/>
            </w:pPr>
            <w:r>
              <w:rPr>
                <w:bCs/>
                <w:b/>
              </w:rPr>
              <w:t xml:space="preserve">VI</w:t>
            </w:r>
          </w:p>
        </w:tc>
        <w:tc>
          <w:tcPr/>
          <w:p>
            <w:pPr>
              <w:pStyle w:val="Compact"/>
              <w:jc w:val="left"/>
            </w:pPr>
            <w:r>
              <w:t xml:space="preserve">SIDS Pacific (boundary)</w:t>
            </w:r>
          </w:p>
        </w:tc>
        <w:tc>
          <w:tcPr/>
          <w:p>
            <w:pPr>
              <w:pStyle w:val="Compact"/>
              <w:jc w:val="left"/>
            </w:pPr>
            <w:r>
              <w:t xml:space="preserve">Fiji, Papua New Guinea, Solomon Islands, Tonga, Vanuatu, Samoa, Kiribati</w:t>
            </w:r>
          </w:p>
        </w:tc>
        <w:tc>
          <w:tcPr/>
          <w:p>
            <w:pPr>
              <w:pStyle w:val="Compact"/>
              <w:jc w:val="left"/>
            </w:pPr>
            <w:r>
              <w:t xml:space="preserve">~1.371</w:t>
            </w:r>
          </w:p>
        </w:tc>
      </w:tr>
      <w:tr>
        <w:tc>
          <w:tcPr/>
          <w:p>
            <w:pPr>
              <w:pStyle w:val="Compact"/>
              <w:jc w:val="left"/>
            </w:pPr>
            <w:r>
              <w:rPr>
                <w:bCs/>
                <w:b/>
              </w:rPr>
              <w:t xml:space="preserve">Tổng</w:t>
            </w:r>
          </w:p>
        </w:tc>
        <w:tc>
          <w:tcPr/>
          <w:p>
            <w:pPr>
              <w:pStyle w:val="Compact"/>
            </w:pPr>
          </w:p>
        </w:tc>
        <w:tc>
          <w:tcPr/>
          <w:p>
            <w:pPr>
              <w:pStyle w:val="Compact"/>
              <w:jc w:val="left"/>
            </w:pPr>
            <w:r>
              <w:t xml:space="preserve">47 nền kinh tế</w:t>
            </w:r>
          </w:p>
        </w:tc>
        <w:tc>
          <w:tcPr/>
          <w:p>
            <w:pPr>
              <w:pStyle w:val="Compact"/>
              <w:jc w:val="left"/>
            </w:pPr>
            <w:r>
              <w:rPr>
                <w:bCs/>
                <w:b/>
              </w:rPr>
              <w:t xml:space="preserve">101.185</w:t>
            </w:r>
          </w:p>
        </w:tc>
      </w:tr>
    </w:tbl>
    <w:p>
      <w:pPr>
        <w:pStyle w:val="BodyText"/>
      </w:pPr>
      <w:r>
        <w:rPr>
          <w:iCs/>
          <w:i/>
        </w:rPr>
        <w:t xml:space="preserve">Ghi chú: n_firms là phân bố xấp xỉ theo pool 101.185; tổng 5 nhóm chính (I–V) = 99.814 (phạm vi chính 41 nước châu Á); SIDS Nhóm VI = 1.371 (1,4% pool).</w:t>
      </w:r>
    </w:p>
    <w:bookmarkEnd w:id="43"/>
    <w:bookmarkStart w:id="44" w:name="Xd47f898f6991efbde7b27bc90a430952f5ee92c"/>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 WGI, GNI, cơ chế tăng trưởng, pattern WBES dự kiến.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w:t>
            </w:r>
          </w:p>
        </w:tc>
        <w:tc>
          <w:tcPr/>
          <w:p>
            <w:pPr>
              <w:pStyle w:val="Compact"/>
              <w:jc w:val="left"/>
            </w:pPr>
            <w:r>
              <w:t xml:space="preserve">Cơ chế quốc tế hóa → hiệu quả</w:t>
            </w:r>
          </w:p>
        </w:tc>
      </w:tr>
      <w:tr>
        <w:tc>
          <w:tcPr/>
          <w:p>
            <w:pPr>
              <w:pStyle w:val="Compact"/>
              <w:jc w:val="left"/>
            </w:pPr>
            <w:r>
              <w:t xml:space="preserve">I —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~1,03</w:t>
            </w:r>
          </w:p>
        </w:tc>
        <w:tc>
          <w:tcPr/>
          <w:p>
            <w:pPr>
              <w:pStyle w:val="Compact"/>
              <w:jc w:val="left"/>
            </w:pPr>
            <w:r>
              <w:t xml:space="preserve">U ngược nhẹ / tuyến tính dương; điểm uốn ~82% (SG)</w:t>
            </w:r>
          </w:p>
        </w:tc>
      </w:tr>
      <w:tr>
        <w:tc>
          <w:tcPr/>
          <w:p>
            <w:pPr>
              <w:pStyle w:val="Compact"/>
              <w:jc w:val="left"/>
            </w:pPr>
            <w:r>
              <w:t xml:space="preserve">II — Resource</w:t>
            </w:r>
          </w:p>
        </w:tc>
        <w:tc>
          <w:tcPr/>
          <w:p>
            <w:pPr>
              <w:pStyle w:val="Compact"/>
              <w:jc w:val="left"/>
            </w:pPr>
            <w:r>
              <w:t xml:space="preserve">+0,00→+0,50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(1–3%)</w:t>
            </w:r>
          </w:p>
        </w:tc>
        <w:tc>
          <w:tcPr/>
          <w:p>
            <w:pPr>
              <w:pStyle w:val="Compact"/>
              <w:jc w:val="left"/>
            </w:pPr>
            <w:r>
              <w:t xml:space="preserve">~0,49</w:t>
            </w:r>
          </w:p>
        </w:tc>
        <w:tc>
          <w:tcPr/>
          <w:p>
            <w:pPr>
              <w:pStyle w:val="Compact"/>
              <w:jc w:val="left"/>
            </w:pPr>
            <w:r>
              <w:t xml:space="preserve">Phi tuyến suy yếu; nhà nước tô phân phối lại</w:t>
            </w:r>
          </w:p>
        </w:tc>
      </w:tr>
      <w:tr>
        <w:tc>
          <w:tcPr/>
          <w:p>
            <w:pPr>
              <w:pStyle w:val="Compact"/>
              <w:jc w:val="left"/>
            </w:pPr>
            <w:r>
              <w:t xml:space="preserve">III — Upper-mid</w:t>
            </w:r>
          </w:p>
        </w:tc>
        <w:tc>
          <w:tcPr/>
          <w:p>
            <w:pPr>
              <w:pStyle w:val="Compact"/>
              <w:jc w:val="left"/>
            </w:pPr>
            <w:r>
              <w:t xml:space="preserve">0,00→+0,80</w:t>
            </w:r>
          </w:p>
        </w:tc>
        <w:tc>
          <w:tcPr/>
          <w:p>
            <w:pPr>
              <w:pStyle w:val="Compact"/>
              <w:jc w:val="left"/>
            </w:pPr>
            <m:oMath>
              <m:r>
                <m:t>5</m:t>
              </m:r>
              <m:r>
                <m:t>k</m:t>
              </m:r>
              <m:r>
                <m:rPr>
                  <m:sty m:val="p"/>
                </m:rPr>
                <m:t>–</m:t>
              </m:r>
            </m:oMath>
            <w:r>
              <w:t xml:space="preserve">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~1,29</w:t>
            </w:r>
          </w:p>
        </w:tc>
        <w:tc>
          <w:tcPr/>
          <w:p>
            <w:pPr>
              <w:pStyle w:val="Compact"/>
              <w:jc w:val="left"/>
            </w:pPr>
            <w:r>
              <w:t xml:space="preserve">U ngược; điểm uốn ~47%</w:t>
            </w:r>
          </w:p>
        </w:tc>
      </w:tr>
      <w:tr>
        <w:tc>
          <w:tcPr/>
          <w:p>
            <w:pPr>
              <w:pStyle w:val="Compact"/>
              <w:jc w:val="left"/>
            </w:pPr>
            <w:r>
              <w:t xml:space="preserve">IV — Emerging</w:t>
            </w:r>
          </w:p>
        </w:tc>
        <w:tc>
          <w:tcPr/>
          <w:p>
            <w:pPr>
              <w:pStyle w:val="Compact"/>
              <w:jc w:val="left"/>
            </w:pPr>
            <w:r>
              <w:t xml:space="preserve">-0,50→0,00</w:t>
            </w:r>
          </w:p>
        </w:tc>
        <w:tc>
          <w:tcPr/>
          <w:p>
            <w:pPr>
              <w:pStyle w:val="Compact"/>
              <w:jc w:val="left"/>
            </w:pPr>
            <m:oMath>
              <m:r>
                <m:t>1</m:t>
              </m:r>
              <m:r>
                <m:t>k</m:t>
              </m:r>
              <m:r>
                <m:rPr>
                  <m:sty m:val="p"/>
                </m:rPr>
                <m:t>–</m:t>
              </m:r>
            </m:oMath>
            <w:r>
              <w:t xml:space="preserve">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~1,24</w:t>
            </w:r>
          </w:p>
        </w:tc>
        <w:tc>
          <w:tcPr/>
          <w:p>
            <w:pPr>
              <w:pStyle w:val="Compact"/>
              <w:jc w:val="left"/>
            </w:pPr>
            <w:r>
              <w:t xml:space="preserve">U ngược; điểm uốn 39–46% (VNM) — bẫy chuyển hướng nguồn lực</w:t>
            </w:r>
          </w:p>
        </w:tc>
      </w:tr>
      <w:tr>
        <w:tc>
          <w:tcPr/>
          <w:p>
            <w:pPr>
              <w:pStyle w:val="Compact"/>
              <w:jc w:val="left"/>
            </w:pPr>
            <w:r>
              <w:t xml:space="preserve">V — Frontier</w:t>
            </w:r>
          </w:p>
        </w:tc>
        <w:tc>
          <w:tcPr/>
          <w:p>
            <w:pPr>
              <w:pStyle w:val="Compact"/>
              <w:jc w:val="left"/>
            </w:pPr>
            <w:r>
              <w:t xml:space="preserve">&lt;-0,50</w:t>
            </w:r>
          </w:p>
        </w:tc>
        <w:tc>
          <w:tcPr/>
          <w:p>
            <w:pPr>
              <w:pStyle w:val="Compact"/>
              <w:jc w:val="left"/>
            </w:pPr>
            <w:r>
              <w:t xml:space="preserve">&lt;</w:t>
            </w:r>
            <m:oMath>
              <m:r>
                <m:t>1</m:t>
              </m:r>
              <m:r>
                <m:t>k</m:t>
              </m:r>
              <m:r>
                <m:rPr>
                  <m:sty m:val="p"/>
                </m:rPr>
                <m:t>–</m:t>
              </m:r>
            </m:oMath>
            <w:r>
              <w:t xml:space="preserve">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~1,36</w:t>
            </w:r>
          </w:p>
        </w:tc>
        <w:tc>
          <w:tcPr/>
          <w:p>
            <w:pPr>
              <w:pStyle w:val="Compact"/>
              <w:jc w:val="left"/>
            </w:pPr>
            <w:r>
              <w:t xml:space="preserve">Yếu; voids thể chế → đổi mới bằng nguồn lực hạn chế</w:t>
            </w:r>
          </w:p>
        </w:tc>
      </w:tr>
      <w:tr>
        <w:tc>
          <w:tcPr/>
          <w:p>
            <w:pPr>
              <w:pStyle w:val="Compact"/>
              <w:jc w:val="left"/>
            </w:pPr>
            <w:r>
              <w:t xml:space="preserve">VI — SIDS</w:t>
            </w:r>
          </w:p>
        </w:tc>
        <w:tc>
          <w:tcPr/>
          <w:p>
            <w:pPr>
              <w:pStyle w:val="Compact"/>
              <w:jc w:val="left"/>
            </w:pPr>
            <w:r>
              <w:t xml:space="preserve">Đặc biệt</w:t>
            </w:r>
          </w:p>
        </w:tc>
        <w:tc>
          <w:tcPr/>
          <w:p>
            <w:pPr>
              <w:pStyle w:val="Compact"/>
              <w:jc w:val="left"/>
            </w:pPr>
            <m:oMath>
              <m:r>
                <m:t>1</m:t>
              </m:r>
              <m:r>
                <m:t>k</m:t>
              </m:r>
              <m:r>
                <m:rPr>
                  <m:sty m:val="p"/>
                </m:rPr>
                <m:t>–</m:t>
              </m:r>
            </m:oMath>
            <w:r>
              <w:t xml:space="preserve">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 U-curve không vận hành</w:t>
            </w:r>
          </w:p>
        </w:tc>
      </w:tr>
    </w:tbl>
    <w:p>
      <w:pPr>
        <w:pStyle w:val="BodyText"/>
      </w:pPr>
      <w:r>
        <w:rPr>
          <w:iCs/>
          <w:i/>
        </w:rPr>
        <w:t xml:space="preserve">Nguồn: Tổng hợp từ World Bank Enterprise Surveys (2025); WGI từ Kaufmann et al. (2011); GNI từ World Bank (2025, tháng 7). Pattern WBES từ phân tích Chương 4 và Đỗ &amp; Phan (2026 — VEFR, JABS, JFAR, MIR under review).</w:t>
      </w:r>
    </w:p>
    <w:p>
      <w:r>
        <w:pict>
          <v:rect style="width:0;height:1.5pt" o:hralign="center" o:hrstd="t" o:hr="t"/>
        </w:pict>
      </w:r>
    </w:p>
    <w:bookmarkEnd w:id="44"/>
    <w:bookmarkEnd w:id="45"/>
    <w:bookmarkStart w:id="49" w:name="X7a4557ec5f328bbc85d5a4ed1bb75ea10e661ff"/>
    <w:p>
      <w:pPr>
        <w:pStyle w:val="Heading3"/>
      </w:pPr>
      <w:r>
        <w:t xml:space="preserve">2.3.3 Thực trạng năng suất lao động và quốc tế hóa</w:t>
      </w:r>
    </w:p>
    <w:bookmarkStart w:id="46" w:name="X9efc38921db522c2198468480477304ba858e97"/>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6"/>
    <w:bookmarkStart w:id="47" w:name="X776ba5e7e4447177ea5f3b43c9e3a363fcc40bd"/>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 tỷ số phân tán Singapore (1,03) so với Vùng Vịnh (0,49) ≈</w:t>
      </w:r>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 0,86 sau khi bổ sung Vùng Vịnh — bằng chứng dị biệt nội bộ; (2) Frontier cao nhất —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7"/>
    <w:bookmarkStart w:id="48" w:name="Xdea3c3468e1ac43b62453be8eff03e210f590fa"/>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8"/>
    <w:bookmarkEnd w:id="49"/>
    <w:bookmarkStart w:id="53" w:name="X48a64f0ab0a551639b88ae683205b88fc505339"/>
    <w:p>
      <w:pPr>
        <w:pStyle w:val="Heading3"/>
      </w:pPr>
      <w:r>
        <w:t xml:space="preserve">2.3.4 Đổi mới sáng tạo và năng lực số hóa</w:t>
      </w:r>
    </w:p>
    <w:bookmarkStart w:id="50" w:name="Xa5eed793639f9fa708261effd8dd5d2cf95e3d3"/>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 định vị phạm vi đo lường.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50"/>
    <w:bookmarkStart w:id="51" w:name="X48321a8ad05ce07f4df9332400b6f3b9b5184ad"/>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 sáng tạo không chính thức để bù đắp cho thiếu hụt nguồn lực; website 58,9% vượt cả nhóm Emerging dù GNI thấp hơn đáng kể. Phân tách rõ TCI so với DAI — kế thừa Đỗ &amp; Phan (2026 — VEFR).</w:t>
      </w:r>
    </w:p>
    <w:bookmarkEnd w:id="51"/>
    <w:bookmarkStart w:id="52" w:name="X039eefd029479bc7c4b04d536a9a2c0066f7bae"/>
    <w:p>
      <w:pPr>
        <w:pStyle w:val="Heading4"/>
      </w:pPr>
      <w:r>
        <w:t xml:space="preserve">2.3.4.3 Tái định hình Chỉ số áp dụng số —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 "số hóa làm giảm năng suất ở Singapore/Hàn Quốc" —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 website không còn phân biệt năng suất vì hầu hết đã có website từ lâu. Do đó biến Spec 1 được đổi tên chính xác hơn thành</w:t>
      </w:r>
      <w:r>
        <w:t xml:space="preserve"> </w:t>
      </w:r>
      <w:r>
        <w:rPr>
          <w:bCs/>
          <w:b/>
        </w:rPr>
        <w:t xml:space="preserve">"Sự hiện diện số cơ bản (Tier-1)"</w:t>
      </w:r>
      <w:r>
        <w:t xml:space="preserve"> </w:t>
      </w:r>
      <w:r>
        <w:t xml:space="preserve">— phạm vi khiêm tốn và phản ánh đúng thực tế đo lường.</w:t>
      </w:r>
    </w:p>
    <w:p>
      <w:r>
        <w:pict>
          <v:rect style="width:0;height:1.5pt" o:hralign="center" o:hrstd="t" o:hr="t"/>
        </w:pict>
      </w:r>
    </w:p>
    <w:bookmarkEnd w:id="52"/>
    <w:bookmarkEnd w:id="53"/>
    <w:bookmarkStart w:id="56" w:name="X72eb40a6f7e25bc137b858c80c8b2c164b34062"/>
    <w:p>
      <w:pPr>
        <w:pStyle w:val="Heading3"/>
      </w:pPr>
      <w:r>
        <w:t xml:space="preserve">2.3.5 Cấu trúc doanh nghiệp</w:t>
      </w:r>
    </w:p>
    <w:bookmarkStart w:id="54" w:name="Xa7dedc490ea2a591885aa4c93f91c2ff8cf4a43"/>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 doanh nghiệp đa quốc gia chọn Singapore làm trung tâm khu vực); (ii) du lịch/viễn thông tại SIDS (FDI nhắm vào khu vực không cạnh tranh với lao động địa phương).</w:t>
      </w:r>
    </w:p>
    <w:bookmarkEnd w:id="54"/>
    <w:bookmarkStart w:id="55" w:name="X279013228163a98d12773178e6c91846d9b5a1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 phân tầng theo phân nhóm con thể chế.</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5"/>
    <w:bookmarkEnd w:id="56"/>
    <w:bookmarkStart w:id="62" w:name="Xb5f5053f24178deaae76fd6a0b7517dcbde3c2b"/>
    <w:p>
      <w:pPr>
        <w:pStyle w:val="Heading3"/>
      </w:pPr>
      <w:r>
        <w:t xml:space="preserve">2.3.6 Biến thiên theo thời gian (2009–2025)</w:t>
      </w:r>
    </w:p>
    <w:bookmarkStart w:id="57" w:name="Xfc0c9ffff2e477aa15de35263cf6be3ebb3dbfa"/>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7"/>
    <w:bookmarkStart w:id="58" w:name="X15cc21ed2bba2d00eb68e819762140b85f4d05d"/>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 định nghĩa chính thức và cách đo.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 "phải hối lộ thanh tra thuế" 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8"/>
    <w:bookmarkStart w:id="59" w:name="X1d1775454e164ec96880a4039b82bdc8acf5777"/>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9"/>
    <w:bookmarkStart w:id="60" w:name="Xba69c568898f5be6dd187064545e4b695772442"/>
    <w:p>
      <w:pPr>
        <w:pStyle w:val="Heading4"/>
      </w:pPr>
      <w:r>
        <w:t xml:space="preserve">2.3.6.4 Phân nhóm con Emerging — dị biệt nội bộ</w:t>
      </w:r>
    </w:p>
    <w:p>
      <w:pPr>
        <w:pStyle w:val="FirstParagraph"/>
      </w:pPr>
      <w:r>
        <w:rPr>
          <w:bCs/>
          <w:b/>
        </w:rPr>
        <w:t xml:space="preserve">Bảng 2.3.6.4</w:t>
      </w:r>
      <w:r>
        <w:t xml:space="preserve">.</w:t>
      </w:r>
      <w:r>
        <w:t xml:space="preserve"> </w:t>
      </w:r>
      <w:r>
        <w:rPr>
          <w:iCs/>
          <w:i/>
        </w:rPr>
        <w:t xml:space="preserve">Phân nhóm con Emerging —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 phân tầng hai tầng trong mẫu con FDI dẫn dắt (Hsieh &amp; Klenow, 2009).</w:t>
      </w:r>
    </w:p>
    <w:bookmarkEnd w:id="60"/>
    <w:bookmarkStart w:id="61" w:name="X6dd7cda65443cf47e18bb2d4cac658826405050"/>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 bao gồm Kiribati 2025 và Nepal 2025). Ghi chú: Nepal 2025 sử dụng BREADY Micro schema — FSTS</w:t>
      </w:r>
      <w:r>
        <w:t xml:space="preserve">, Website† và FDI/R&amp;D (—) không tương đương trực tiếp với WBES chuẩn; trung bình Tổng 2025 tính trên 13 quốc gia WBES chuẩn.*</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 "số hóa tăng, xuất khẩu giảm";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 FSTS 1,03%, FDI 0,7%, website 18,7% — đối lập hoàn toàn với Fiji. Dị biệt SIDS "số hóa cao" (FJI, MDV) so với "cô lập nông thôn" (KIR) — Chuyên đề 2 cần tách 2 phân nhóm con SIDS.</w:t>
      </w:r>
      <w:r>
        <w:t xml:space="preserve">; (8)</w:t>
      </w:r>
      <w:r>
        <w:t xml:space="preserve"> </w:t>
      </w:r>
      <w:r>
        <w:rPr>
          <w:bCs/>
          <w:b/>
        </w:rPr>
        <w:t xml:space="preserve">Nepal Frontier — BREADY Micro schema (n=1.740): 10% bán quốc tế, số hóa 22,6% (máy tính/tablet), sd log LP 1,15 — mẫu doanh nghiệp siêu nhỏ không so sánh trực tiếp với WBES chuẩn; cần tái mã hóa trước khi tích hợp vào hồi quy chính.</w:t>
      </w:r>
    </w:p>
    <w:p>
      <w:r>
        <w:pict>
          <v:rect style="width:0;height:1.5pt" o:hralign="center" o:hrstd="t" o:hr="t"/>
        </w:pict>
      </w:r>
    </w:p>
    <w:bookmarkEnd w:id="61"/>
    <w:bookmarkEnd w:id="62"/>
    <w:bookmarkStart w:id="71" w:name="Xd6626b244661b808c75b098a6548f556384e2d4"/>
    <w:p>
      <w:pPr>
        <w:pStyle w:val="Heading3"/>
      </w:pPr>
      <w:r>
        <w:t xml:space="preserve">2.3.7 Bảy tiểu cảnh điển hình</w:t>
      </w:r>
    </w:p>
    <w:bookmarkStart w:id="63" w:name="Xcff4d6e38b2807e38398c46cc003f19f0870721"/>
    <w:p>
      <w:pPr>
        <w:pStyle w:val="Heading4"/>
      </w:pPr>
      <w:r>
        <w:t xml:space="preserve">2.3.7.1 Singapore (Advanced đổi mới sáng tạo dẫn dắt —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 MIR under review): R² hiệu chỉnh = 0,196; tương tác FSTS² × DAI = 3,119 (p=0,005); điểm uốn ~82%.</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 Tăng trưởng — Cộng đồng.</w:t>
      </w:r>
    </w:p>
    <w:p>
      <w:pPr>
        <w:pStyle w:val="BodyText"/>
      </w:pPr>
      <w:r>
        <w:t xml:space="preserve">Hệ sinh thái Singapore vận hành ở Tier 3–4 —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63"/>
    <w:bookmarkStart w:id="64" w:name="X7dae8bd91b7a66085efb248b8743b187c1ad134"/>
    <w:p>
      <w:pPr>
        <w:pStyle w:val="Heading4"/>
      </w:pPr>
      <w:r>
        <w:t xml:space="preserve">2.3.7.2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 ở nhà nước tô, cơ chế phân bổ sai là bảo hộ FDI chứ không phải thiếu hụt thể chế; (3) Kuwait Vision 2035 với R&amp;D 20,7% —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64"/>
    <w:bookmarkStart w:id="65" w:name="Xc0d0a4ac1970454ec7a9406872ce19583983fc7"/>
    <w:p>
      <w:pPr>
        <w:pStyle w:val="Heading4"/>
      </w:pPr>
      <w:r>
        <w:t xml:space="preserve">2.3.7.3 Việt Nam (n=3.077, 3 đợt khảo sát) —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5"/>
    <w:bookmarkStart w:id="66" w:name="X277549c0c2e07611a176f54ee466361ef9e7c40"/>
    <w:p>
      <w:pPr>
        <w:pStyle w:val="Heading4"/>
      </w:pPr>
      <w:r>
        <w:t xml:space="preserve">2.3.7.4 Trung Quốc (n=4.889)</w:t>
      </w:r>
    </w:p>
    <w:p>
      <w:pPr>
        <w:pStyle w:val="FirstParagraph"/>
      </w:pPr>
      <w:r>
        <w:t xml:space="preserve">FSTS 10,9% → 8,8%; FDI ≥10% chiếm 6,0%. Quan hệ FSTS – năng suất có dạng hàm bậc hai (U ngược) với điểm uốn ~47,5% (Đỗ &amp; Phan, 2026 — JFAR).</w:t>
      </w:r>
      <w:r>
        <w:t xml:space="preserve"> </w:t>
      </w:r>
      <w:r>
        <w:rPr>
          <w:bCs/>
          <w:b/>
        </w:rPr>
        <w:t xml:space="preserve">Rủi ro tập trung</w:t>
      </w:r>
      <w:r>
        <w:t xml:space="preserve">: Wang, Huang và Hong (2024 — IRFA) phân tích 80% mô hình rủi ro ngân hàng tại Trung Quốc phụ thuộc các nhà cung cấp công nghệ chi phối thị trường — cảnh báo cho lộ trình sản xuất thông minh.</w:t>
      </w:r>
    </w:p>
    <w:bookmarkEnd w:id="66"/>
    <w:bookmarkStart w:id="67" w:name="X2e3bf564c07513beffd6d89139670937864989e"/>
    <w:p>
      <w:pPr>
        <w:pStyle w:val="Heading4"/>
      </w:pPr>
      <w:r>
        <w:t xml:space="preserve">2.3.7.5 Tổng hợp Emerging Asia (n=42.278) — trường hợp Ấn Độ</w:t>
      </w:r>
    </w:p>
    <w:p>
      <w:pPr>
        <w:pStyle w:val="FirstParagraph"/>
      </w:pPr>
      <w:r>
        <w:t xml:space="preserve">FSTS 7,6%; FDI ≥10% chiếm 4,4%; tỷ lệ doanh nghiệp R&amp;D dương 16%. Phân tán nội bộ lớn (độ lệch chuẩn log 2,18) — phản ánh dị biệt rộng xuyên 7 nước.</w:t>
      </w:r>
    </w:p>
    <w:p>
      <w:pPr>
        <w:pStyle w:val="BodyText"/>
      </w:pPr>
      <w:r>
        <w:rPr>
          <w:bCs/>
          <w:b/>
        </w:rPr>
        <w:t xml:space="preserve">Trường hợp Ấn Độ — lan tỏa công nghệ</w:t>
      </w:r>
      <w:r>
        <w:t xml:space="preserve">: Theo Sikdar &amp; Mukhopadhyay (2026 —</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7"/>
    <w:bookmarkStart w:id="68" w:name="Xd73094d8bef136e9846d3fa666530217d2cc4a8"/>
    <w:p>
      <w:pPr>
        <w:pStyle w:val="Heading4"/>
      </w:pPr>
      <w:r>
        <w:t xml:space="preserve">2.3.7.6 Mông Cổ — từ lời nguyền tài nguyên đến khoáng sản thiết yếu (n=1.905)</w:t>
      </w:r>
    </w:p>
    <w:p>
      <w:pPr>
        <w:pStyle w:val="FirstParagraph"/>
      </w:pPr>
      <w:r>
        <w:t xml:space="preserve">FSTS đình trệ 4–6%; FDI ≥10% giảm</w:t>
      </w:r>
      <w:r>
        <w:t xml:space="preserve"> </w:t>
      </w:r>
      <w:r>
        <w:rPr>
          <w:bCs/>
          <w:b/>
        </w:rPr>
        <w:t xml:space="preserve">7,2% → 3,2%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 FSTS đình trệ trong khi website tăng mạnh; FDI giảm phản ánh lời nguyền tài nguyên giai đoạn 1.</w:t>
      </w:r>
    </w:p>
    <w:bookmarkEnd w:id="68"/>
    <w:bookmarkStart w:id="69" w:name="Xab836cafea807ed77f15b21cd94cc6b892d6d3c"/>
    <w:p>
      <w:pPr>
        <w:pStyle w:val="Heading4"/>
      </w:pPr>
      <w:r>
        <w:t xml:space="preserve">2.3.7.7 SIDS Thái Bình Dương (7 nước —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và remittances 25–40% GDP; (3) thanh niên thất nghiệp 15–30%; (4) lao động di chuyển —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9"/>
    <w:bookmarkStart w:id="70" w:name="Xfd5fe21f9fcef2d12fbf9bf5b514d4edcb38056"/>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70"/>
    <w:bookmarkEnd w:id="71"/>
    <w:bookmarkStart w:id="75" w:name="X268ac3e7736b22d5a7e7bb0dd0db24ee7c9a0fe"/>
    <w:p>
      <w:pPr>
        <w:pStyle w:val="Heading3"/>
      </w:pPr>
      <w:r>
        <w:t xml:space="preserve">2.3.8 Yếu tố giải thích sơ bộ</w:t>
      </w:r>
    </w:p>
    <w:bookmarkStart w:id="72" w:name="X76fd8dbe2b9b91bea7918a9270911a7c211abd5"/>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 FDI ngoại sinh là nguồn năng suất chủ đạo; (2) FDI âm tại Advanced (−0,113) — doanh nghiệp FDI không có lợi thế tại thị trường trưởng thành; (3) FSTS dương tại Advanced (+0,113) — xác nhận lý thuyết Uppsala; (4) TCI dương đồng đều SIDS và Advanced; (5) DAI âm tại Advanced (−0,129) — Nghịch lý bão hòa số; (6) Đảo dấu cross-regime — thể chế điều tiết chiều hướng cơ chế (Xu, 2024).</w:t>
      </w:r>
    </w:p>
    <w:p>
      <w:pPr>
        <w:pStyle w:val="BodyText"/>
      </w:pPr>
      <w:r>
        <w:rPr>
          <w:bCs/>
          <w:b/>
        </w:rPr>
        <w:t xml:space="preserve">Cảnh báo schema BREADY 2025</w:t>
      </w:r>
      <w:r>
        <w:t xml:space="preserve">: Bảng 2.3.8.1 có thể bị nhiễu hiệu ứng schema — cần kiểm chứng qua hệ thống phòng thủ ba tầng (§2.2) trước khi suy diễn nhân quả.</w:t>
      </w:r>
    </w:p>
    <w:bookmarkEnd w:id="72"/>
    <w:bookmarkStart w:id="73" w:name="X787ef546d85dd073220df47ad86cf87544d1d07"/>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73"/>
    <w:bookmarkStart w:id="74" w:name="Xade5b455581c2336d77181f962fe777af946445"/>
    <w:p>
      <w:pPr>
        <w:pStyle w:val="Heading4"/>
      </w:pPr>
      <w:r>
        <w:t xml:space="preserve">2.3.8.3 Đường cong U của đổi mới số — từ chi phí đầu tư đến phần bù năng suất</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 giai đoạn "sân khấu số" (Verhoef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74"/>
    <w:bookmarkEnd w:id="75"/>
    <w:bookmarkStart w:id="80" w:name="Xf043498bf1729b29cfab4f032a23e6f500dd3c3"/>
    <w:p>
      <w:pPr>
        <w:pStyle w:val="Heading3"/>
      </w:pPr>
      <w:r>
        <w:t xml:space="preserve">2.3.9 Thảo luận tổng hợp</w:t>
      </w:r>
    </w:p>
    <w:bookmarkStart w:id="76" w:name="X50398870d83cde6afbab045058663d7d92dfa78"/>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 Upper-middle 1,29 ≈ Emerging 1,24 ≈ SIDS 1,32 →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w:t>
      </w:r>
      <w:r>
        <w:t xml:space="preserve">— cần phân nhóm con Advanced trong Chuyên đề 2.</w:t>
      </w:r>
    </w:p>
    <w:p>
      <w:pPr>
        <w:pStyle w:val="BodyText"/>
      </w:pPr>
      <w:r>
        <w:rPr>
          <w:bCs/>
          <w:b/>
        </w:rPr>
        <w:t xml:space="preserve">(iii) Dị biệt nội bộ phân nhóm Emerging — 3 phân nhóm con</w:t>
      </w:r>
      <w:r>
        <w:t xml:space="preserve">: FDI dẫn dắt SEA (VNM+IDN+PHL, FSTS 13,2%) ≠ dân số lớn (IND+LKA+JOR, FSTS 7,2%) ≠ tài nguyên (MNG, FSTS 5,0%).</w:t>
      </w:r>
    </w:p>
    <w:p>
      <w:pPr>
        <w:pStyle w:val="BodyText"/>
      </w:pPr>
      <w:r>
        <w:rPr>
          <w:bCs/>
          <w:b/>
        </w:rPr>
        <w:t xml:space="preserve">(iv) SIDS Pacific — Kiribati 2025 là trường hợp biên cực đoan nhất</w:t>
      </w:r>
      <w:r>
        <w:t xml:space="preserve">: FSTS 1,03%, FDI 0,7%, website 18,7%, ISO 1,3% —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 xem kiểm định loại trừ ICT tại §2.3.4.3.</w:t>
      </w:r>
    </w:p>
    <w:p>
      <w:pPr>
        <w:pStyle w:val="BodyText"/>
      </w:pPr>
      <w:r>
        <w:rPr>
          <w:bCs/>
          <w:b/>
        </w:rPr>
        <w:t xml:space="preserve">(vii) Pattern phi tuyến FDI ≥10%</w:t>
      </w:r>
      <w:r>
        <w:t xml:space="preserve"> </w:t>
      </w:r>
      <w:r>
        <w:t xml:space="preserve">— dạng chữ U với cực tiểu Emerging (4,7%): Advanced 11,1% → Emerging 4,7% → SIDS 23,5%. Hai mô hình FDI: MNE hub (Advanced) và du lịch/viễn thông (SIDS).</w:t>
      </w:r>
    </w:p>
    <w:p>
      <w:pPr>
        <w:pStyle w:val="BodyText"/>
      </w:pPr>
      <w:r>
        <w:rPr>
          <w:bCs/>
          <w:b/>
        </w:rPr>
        <w:t xml:space="preserve">(viii) Đợt khảo sát 2025 —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6"/>
    <w:bookmarkStart w:id="77" w:name="X46667155284f97c200a5c64899f2a21c5cf33a6"/>
    <w:p>
      <w:pPr>
        <w:pStyle w:val="Heading4"/>
      </w:pPr>
      <w:r>
        <w:t xml:space="preserve">2.3.9.2 Năm khoảng trống nghiên cứu</w:t>
      </w:r>
    </w:p>
    <w:p>
      <w:pPr>
        <w:pStyle w:val="FirstParagraph"/>
      </w:pPr>
      <w:r>
        <w:rPr>
          <w:bCs/>
          <w:b/>
        </w:rPr>
        <w:t xml:space="preserve">KT1 —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 Phân nhóm con Advanced: innovation-driven so với resource-driven chưa được hệ thống hóa</w:t>
      </w:r>
      <w:r>
        <w:t xml:space="preserve">: Nghiên cứu hiện hành (Bausch &amp; Krist, 2007; Kirca et al., 2012) gộp tất cả OECD vào "phát triển". Bằng chứng Singapore so với Saudi Arabia/Qatar/Kuwait cho thấy hai phân nhóm có pattern hoàn toàn khác nhau.</w:t>
      </w:r>
    </w:p>
    <w:p>
      <w:pPr>
        <w:pStyle w:val="BodyText"/>
      </w:pPr>
      <w:r>
        <w:rPr>
          <w:bCs/>
          <w:b/>
        </w:rPr>
        <w:t xml:space="preserve">KT3 —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bookmarkEnd w:id="77"/>
    <w:bookmarkStart w:id="78" w:name="Xa66085143ffff6413371519ab41b3c4856371a5"/>
    <w:p>
      <w:pPr>
        <w:pStyle w:val="Heading4"/>
      </w:pPr>
      <w:r>
        <w:t xml:space="preserve">2.3.9.3 Hàm ý lý thuyết</w:t>
      </w:r>
    </w:p>
    <w:p>
      <w:pPr>
        <w:pStyle w:val="FirstParagraph"/>
      </w:pPr>
      <w:r>
        <w:rPr>
          <w:bCs/>
          <w:b/>
        </w:rPr>
        <w:t xml:space="preserve">(1) Uppsala có điều kiện —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 vượt qua "phần bù số" đồng nhất (Verhoef et al., 2021).</w:t>
      </w:r>
    </w:p>
    <w:p>
      <w:pPr>
        <w:pStyle w:val="BodyText"/>
      </w:pPr>
      <w:r>
        <w:rPr>
          <w:bCs/>
          <w:b/>
        </w:rPr>
        <w:t xml:space="preserve">(3) Giao diện Đổi mới-Hiệu suất Nâng cao (AIPI)</w:t>
      </w:r>
      <w:r>
        <w:t xml:space="preserve">: FSTS²×DAI = +3,119 tại Singapore gợi ý cơ chế mới — tại FSTS cao, doanh nghiệp cần DAI như "phối hợp kỹ thuật số xuyên biên giới" 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8"/>
    <w:bookmarkStart w:id="79" w:name="X189ece3194e43cc24a92a340e8a7d9069d506e5"/>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 biến giả Post_BREADY_2024, kiểm định ổn định mô hình neo, panel hậu đại dịch độc lập —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9"/>
    <w:bookmarkEnd w:id="80"/>
    <w:bookmarkEnd w:id="81"/>
    <w:bookmarkStart w:id="86" w:name="X823a172d700e07156f307d64ebb51dd68a5ba8d"/>
    <w:p>
      <w:pPr>
        <w:pStyle w:val="Heading2"/>
      </w:pPr>
      <w:r>
        <w:t xml:space="preserve">2.4 KẾT LUẬN</w:t>
      </w:r>
    </w:p>
    <w:bookmarkStart w:id="82" w:name="X45ad1c2c92641d62b5ddf89c8644d597d843847"/>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 Phi tuyến xuyên chế độ thể chế là quy luật</w:t>
      </w:r>
      <w:r>
        <w:t xml:space="preserve">: U ngược tại Emerging (Việt Nam điểm uốn 39–46%; Trung Quốc điểm uốn 47–49%); gần tuyến tính tại Advanced (Singapore điểm uốn 82%); chi phí buộc phải tại SIDS.</w:t>
      </w:r>
    </w:p>
    <w:p>
      <w:pPr>
        <w:pStyle w:val="BodyText"/>
      </w:pPr>
      <w:r>
        <w:rPr>
          <w:bCs/>
          <w:b/>
        </w:rPr>
        <w:t xml:space="preserve">KL2 — TCI là dịch chuyển mức phổ quát, DAI là khuếch đại phụ thuộc bối cảnh</w:t>
      </w:r>
      <w:r>
        <w:t xml:space="preserve">: TCI dương ở mọi nhóm; DAI đổi dấu theo nhóm ICRV — đây là nội hàm cốt lõi của CDCM.</w:t>
      </w:r>
    </w:p>
    <w:p>
      <w:pPr>
        <w:pStyle w:val="BodyText"/>
      </w:pPr>
      <w:r>
        <w:rPr>
          <w:bCs/>
          <w:b/>
        </w:rPr>
        <w:t xml:space="preserve">KL3 —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 Phân nhóm con Advanced là cần thiết cho phân tích kinh doanh quốc tế châu Á</w:t>
      </w:r>
      <w:r>
        <w:t xml:space="preserve">: Singapore và Saudi Arabia/Qatar/Kuwait cùng nhãn "Advanced" nhưng pattern năng suất doanh nghiệp hoàn toàn khác nhau.</w:t>
      </w:r>
    </w:p>
    <w:bookmarkEnd w:id="82"/>
    <w:bookmarkStart w:id="85" w:name="X7e7dd0c69ae63ee797d467ac3735f8a7b3df6f2"/>
    <w:p>
      <w:pPr>
        <w:pStyle w:val="Heading3"/>
      </w:pPr>
      <w:r>
        <w:t xml:space="preserve">2.4.2 Hàm ý và đề xuất</w:t>
      </w:r>
    </w:p>
    <w:bookmarkStart w:id="83" w:name="X094960bc59f54f838b2d57aea89e9e1912e4b2a"/>
    <w:p>
      <w:pPr>
        <w:pStyle w:val="Heading4"/>
      </w:pPr>
      <w:r>
        <w:t xml:space="preserve">2.4.2.1 Hàm ý chính sách cho doanh nghiệp Việt Nam và khu vực châu Á</w:t>
      </w:r>
    </w:p>
    <w:p>
      <w:pPr>
        <w:pStyle w:val="FirstParagraph"/>
      </w:pPr>
      <w:r>
        <w:rPr>
          <w:bCs/>
          <w:b/>
        </w:rPr>
        <w:t xml:space="preserve">(1) Sequencing năng lực trước —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 bối cảnh khác biệt quá lớn).</w:t>
      </w:r>
    </w:p>
    <w:p>
      <w:pPr>
        <w:pStyle w:val="BodyText"/>
      </w:pPr>
      <w:r>
        <w:rPr>
          <w:bCs/>
          <w:b/>
        </w:rPr>
        <w:t xml:space="preserve">(6) Chính sách số hóa phân cấp theo vùng và quy mô</w:t>
      </w:r>
      <w:r>
        <w:t xml:space="preserve">: Hiệu ứng DAI phụ thuộc bối cảnh — đầu tư website khác nhau tại TP.HCM (Tier-1.5) so với nông thôn đồng bằng sông Cửu Long (Tier-1 chưa bão hòa).</w:t>
      </w:r>
    </w:p>
    <w:p>
      <w:pPr>
        <w:pStyle w:val="BodyText"/>
      </w:pPr>
      <w:r>
        <w:rPr>
          <w:bCs/>
          <w:b/>
        </w:rPr>
        <w:t xml:space="preserve">(7) Hợp tác lao động di chuyển Pacific cho Việt Nam —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 không phù hợp để sao chép trực tiếp;</w:t>
      </w:r>
      <w:r>
        <w:t xml:space="preserve"> </w:t>
      </w:r>
      <w:r>
        <w:t xml:space="preserve">(b) Nhật Bản 60% doanh nghiệp AI back-office (Tier-2) —</w:t>
      </w:r>
      <w:r>
        <w:t xml:space="preserve"> </w:t>
      </w:r>
      <w:r>
        <w:rPr>
          <w:bCs/>
          <w:b/>
        </w:rPr>
        <w:t xml:space="preserve">mục tiêu thực tế 2026–2030</w:t>
      </w:r>
      <w:r>
        <w:t xml:space="preserve">;</w:t>
      </w:r>
      <w:r>
        <w:t xml:space="preserve"> </w:t>
      </w:r>
      <w:r>
        <w:t xml:space="preserve">(c) Trung Quốc sản xuất thông minh (Tier-2/3) —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83"/>
    <w:bookmarkStart w:id="84" w:name="Xb697be836d09af640a289e52f50161b3b1155ae"/>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 điều kiện tiên quyết trước khi báo cáo BREADY 2025 như bằng chứng nhân quả.</w:t>
      </w:r>
    </w:p>
    <w:p>
      <w:r>
        <w:pict>
          <v:rect style="width:0;height:1.5pt" o:hralign="center" o:hrstd="t" o:hr="t"/>
        </w:pict>
      </w:r>
    </w:p>
    <w:bookmarkEnd w:id="84"/>
    <w:bookmarkEnd w:id="85"/>
    <w:bookmarkEnd w:id="86"/>
    <w:bookmarkStart w:id="87"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7"/>
    <w:bookmarkStart w:id="89" w:name="phụ-lục"/>
    <w:p>
      <w:pPr>
        <w:pStyle w:val="Heading2"/>
      </w:pPr>
      <w:r>
        <w:t xml:space="preserve">PHỤ LỤC</w:t>
      </w:r>
    </w:p>
    <w:bookmarkStart w:id="88" w:name="X455ce858332f7a7b125a8542ec5352c1f9e8564"/>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8"/>
    <w:bookmarkEnd w:id="8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2026-05-24T12:09:10Z</dcterms:created>
  <dcterms:modified xsi:type="dcterms:W3CDTF">2026-05-24T12:09:10Z</dcterms:modified>
</cp:coreProperties>
</file>

<file path=docProps/custom.xml><?xml version="1.0" encoding="utf-8"?>
<Properties xmlns="http://schemas.openxmlformats.org/officeDocument/2006/custom-properties" xmlns:vt="http://schemas.openxmlformats.org/officeDocument/2006/docPropsVTypes"/>
</file>