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42.png" ContentType="image/png"/>
  <Override PartName="/word/media/rId49.png" ContentType="image/png"/>
  <Override PartName="/word/media/rId64.png" ContentType="image/png"/>
  <Override PartName="/word/media/rId58.png" ContentType="image/png"/>
  <Override PartName="/word/media/rId6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9" w:name="X6e49602a40cc64ed14c452ca6f8935cac55689a"/>
    <w:p>
      <w:pPr>
        <w:pStyle w:val="Heading1"/>
      </w:pPr>
      <w:r>
        <w:t xml:space="preserve">CHUYÊN ĐỀ TIẾN SĨ SỐ 1 — THỰC TRẠNG VỀ HIỆU QUẢ HOẠT ĐỘNG KINH DOANH CỦA CÁC DOANH NGHIỆP Ở CHÂU Á</w:t>
      </w:r>
    </w:p>
    <w:p>
      <w:pPr>
        <w:pStyle w:val="BlockText"/>
      </w:pPr>
      <w:r>
        <w:t xml:space="preserve">Căn cứ Quyết định số 4768/QĐ-ĐHCT ngày 15/10/2024 của Hiệu trưởng Trường Đại học Cần Thơ về việc giao chuyên đề và tiểu luận tổng quan tiến sĩ.</w:t>
      </w:r>
      <w:r>
        <w:t xml:space="preserve"> </w:t>
      </w:r>
      <w:r>
        <w:t xml:space="preserve">Bố cục tuân thủ Hướng dẫn QĐ 1799/QĐ-ĐHCT (18/6/2021) — Phần 1 Thông tin chung + Phần 2 Nội dung chuyên đề (§2.1 Đặt vấn đề / §2.2 PPNC / §2.3 Kết quả+thảo luận / §2.4 Kết luận+đề xuất).</w:t>
      </w:r>
    </w:p>
    <w:bookmarkStart w:id="20" w:name="phần-1-thông-tin-chung"/>
    <w:p>
      <w:pPr>
        <w:pStyle w:val="Heading2"/>
      </w:pPr>
      <w:r>
        <w:t xml:space="preserve">PHẦN 1 — THÔNG TIN CHUNG</w:t>
      </w:r>
    </w:p>
    <w:p>
      <w:pPr>
        <w:pStyle w:val="BlockText"/>
      </w:pPr>
      <w:r>
        <w:t xml:space="preserve">Căn cứ Quyết định số 4768/QĐ-ĐHCT ngày 15/10/2024 (giao chuyên đề); Quyết định số 4769/QĐ-ĐHCT ngày 15/10/2024 (tên luận án:</w:t>
      </w:r>
      <w:r>
        <w:t xml:space="preserve"> </w:t>
      </w:r>
      <w:r>
        <w:t xml:space="preserve">“</w:t>
      </w:r>
      <w:r>
        <w:t xml:space="preserve">Châu Á</w:t>
      </w:r>
      <w:r>
        <w:t xml:space="preserve">”</w:t>
      </w:r>
      <w:r>
        <w:t xml:space="preserve">).</w:t>
      </w:r>
      <w:r>
        <w:t xml:space="preserve"> </w:t>
      </w:r>
      <w:r>
        <w:t xml:space="preserve">Outline tham chiếu:</w:t>
      </w:r>
      <w:r>
        <w:t xml:space="preserve"> </w:t>
      </w:r>
      <w:r>
        <w:rPr>
          <w:rStyle w:val="VerbatimChar"/>
        </w:rPr>
        <w:t xml:space="preserve">thesis/12_chuyen_de_1_outline_vi.md</w:t>
      </w:r>
      <w:r>
        <w:t xml:space="preserve">.</w:t>
      </w:r>
      <w:r>
        <w:t xml:space="preserve"> </w:t>
      </w:r>
      <w:r>
        <w:t xml:space="preserve">Phần 2:</w:t>
      </w:r>
      <w:r>
        <w:t xml:space="preserve"> </w:t>
      </w:r>
      <w:r>
        <w:rPr>
          <w:rStyle w:val="VerbatimChar"/>
        </w:rPr>
        <w:t xml:space="preserve">thesis/15_cd1_part2_findings_vi.md</w:t>
      </w:r>
      <w:r>
        <w:t xml:space="preserve"> </w:t>
      </w:r>
      <w:r>
        <w:t xml:space="preserve">· Phần 3:</w:t>
      </w:r>
      <w:r>
        <w:t xml:space="preserve"> </w:t>
      </w:r>
      <w:r>
        <w:rPr>
          <w:rStyle w:val="VerbatimChar"/>
        </w:rPr>
        <w:t xml:space="preserve">thesis/16_cd1_part3_cases_conclusion_vi.md</w:t>
      </w:r>
      <w:r>
        <w:t xml:space="preserve">.</w:t>
      </w:r>
      <w:r>
        <w:t xml:space="preserve"> </w:t>
      </w:r>
      <w:r>
        <w:t xml:space="preserve">Bảng thuật ngữ Anh-Việt:</w:t>
      </w:r>
      <w:r>
        <w:t xml:space="preserve"> </w:t>
      </w:r>
      <w:r>
        <w:rPr>
          <w:rStyle w:val="VerbatimChar"/>
        </w:rPr>
        <w:t xml:space="preserve">thesis/09b_vn_term_glossary.md</w:t>
      </w:r>
      <w:r>
        <w:t xml:space="preserve"> </w:t>
      </w:r>
      <w:r>
        <w:t xml:space="preserve">· Chuẩn văn phong:</w:t>
      </w:r>
      <w:r>
        <w:t xml:space="preserve"> </w:t>
      </w:r>
      <w:r>
        <w:rPr>
          <w:rStyle w:val="VerbatimChar"/>
        </w:rPr>
        <w:t xml:space="preserve">thesis/09_academic_writing_standards_vi.md</w:t>
      </w:r>
      <w:r>
        <w:t xml:space="preserve">.</w:t>
      </w:r>
      <w:r>
        <w:t xml:space="preserve"> </w:t>
      </w:r>
      <w:r>
        <w:t xml:space="preserve">Hình minh họa:</w:t>
      </w:r>
      <w:r>
        <w:t xml:space="preserve"> </w:t>
      </w:r>
      <w:r>
        <w:rPr>
          <w:rStyle w:val="VerbatimChar"/>
        </w:rPr>
        <w:t xml:space="preserve">thesis/figures/</w:t>
      </w:r>
      <w:r>
        <w:t xml:space="preserve"> </w:t>
      </w:r>
      <w:r>
        <w:t xml:space="preserve">(11 hình).</w:t>
      </w:r>
      <w:r>
        <w:t xml:space="preserve"> </w:t>
      </w:r>
      <w:r>
        <w:t xml:space="preserve">—</w:t>
      </w:r>
    </w:p>
    <w:bookmarkEnd w:id="20"/>
    <w:bookmarkStart w:id="21" w:name="trang-bìa"/>
    <w:p>
      <w:pPr>
        <w:pStyle w:val="Heading2"/>
      </w:pPr>
      <w:r>
        <w:t xml:space="preserve">TRANG BÌA</w:t>
      </w:r>
    </w:p>
    <w:p>
      <w:pPr>
        <w:pStyle w:val="SourceCode"/>
      </w:pPr>
      <w:r>
        <w:rPr>
          <w:rStyle w:val="VerbatimChar"/>
        </w:rPr>
        <w:t xml:space="preserve">BỘ GIÁO DỤC VÀ ĐÀO TẠO</w:t>
      </w:r>
      <w:r>
        <w:br/>
      </w:r>
      <w:r>
        <w:rPr>
          <w:rStyle w:val="VerbatimChar"/>
        </w:rPr>
        <w:t xml:space="preserve">TRƯỜNG ĐẠI HỌC CẦN THƠ</w:t>
      </w:r>
      <w:r>
        <w:br/>
      </w:r>
      <w:r>
        <w:rPr>
          <w:rStyle w:val="VerbatimChar"/>
        </w:rPr>
        <w:t xml:space="preserve">TRƯỜNG KINH TẾ</w:t>
      </w:r>
      <w:r>
        <w:br/>
      </w:r>
      <w:r>
        <w:br/>
      </w:r>
      <w:r>
        <w:rPr>
          <w:rStyle w:val="VerbatimChar"/>
        </w:rPr>
        <w:t xml:space="preserve">─────────────</w:t>
      </w:r>
      <w:r>
        <w:br/>
      </w:r>
      <w:r>
        <w:br/>
      </w:r>
      <w:r>
        <w:rPr>
          <w:rStyle w:val="VerbatimChar"/>
        </w:rPr>
        <w:t xml:space="preserve">ĐỖ THÙY HƯƠNG</w:t>
      </w:r>
      <w:r>
        <w:br/>
      </w:r>
      <w:r>
        <w:br/>
      </w:r>
      <w:r>
        <w:rPr>
          <w:rStyle w:val="VerbatimChar"/>
        </w:rPr>
        <w:t xml:space="preserve">CHUYÊN ĐỀ TIẾN SĨ SỐ 1</w:t>
      </w:r>
      <w:r>
        <w:br/>
      </w:r>
      <w:r>
        <w:br/>
      </w:r>
      <w:r>
        <w:rPr>
          <w:rStyle w:val="VerbatimChar"/>
        </w:rPr>
        <w:t xml:space="preserve">THỰC TRẠNG VỀ HIỆU QUẢ HOẠT ĐỘNG KINH DOANH</w:t>
      </w:r>
      <w:r>
        <w:br/>
      </w:r>
      <w:r>
        <w:rPr>
          <w:rStyle w:val="VerbatimChar"/>
        </w:rPr>
        <w:t xml:space="preserve">CỦA CÁC DOANH NGHIỆP Ở CHÂU Á</w:t>
      </w:r>
      <w:r>
        <w:br/>
      </w:r>
      <w:r>
        <w:br/>
      </w:r>
      <w:r>
        <w:rPr>
          <w:rStyle w:val="VerbatimChar"/>
        </w:rPr>
        <w:t xml:space="preserve">Ngành: Quản trị kinh doanh</w:t>
      </w:r>
      <w:r>
        <w:br/>
      </w:r>
      <w:r>
        <w:rPr>
          <w:rStyle w:val="VerbatimChar"/>
        </w:rPr>
        <w:t xml:space="preserve">Mã ngành: 9340101</w:t>
      </w:r>
      <w:r>
        <w:br/>
      </w:r>
      <w:r>
        <w:rPr>
          <w:rStyle w:val="VerbatimChar"/>
        </w:rPr>
        <w:t xml:space="preserve">Mã nghiên cứu sinh: P1323001</w:t>
      </w:r>
      <w:r>
        <w:br/>
      </w:r>
      <w:r>
        <w:br/>
      </w:r>
      <w:r>
        <w:rPr>
          <w:rStyle w:val="VerbatimChar"/>
        </w:rPr>
        <w:t xml:space="preserve">NGƯỜI HƯỚNG DẪN KHOA HỌC</w:t>
      </w:r>
      <w:r>
        <w:br/>
      </w:r>
      <w:r>
        <w:rPr>
          <w:rStyle w:val="VerbatimChar"/>
        </w:rPr>
        <w:t xml:space="preserve">TS. NGUYỄN MINH CẢNH</w:t>
      </w:r>
      <w:r>
        <w:br/>
      </w:r>
      <w:r>
        <w:br/>
      </w:r>
      <w:r>
        <w:rPr>
          <w:rStyle w:val="VerbatimChar"/>
        </w:rPr>
        <w:t xml:space="preserve">Cần Thơ, năm 2026</w:t>
      </w:r>
    </w:p>
    <w:p>
      <w:r>
        <w:pict>
          <v:rect style="width:0;height:1.5pt" o:hralign="center" o:hrstd="t" o:hr="t"/>
        </w:pict>
      </w:r>
    </w:p>
    <w:bookmarkEnd w:id="21"/>
    <w:bookmarkStart w:id="22" w:name="lời-cam-đoan"/>
    <w:p>
      <w:pPr>
        <w:pStyle w:val="Heading2"/>
      </w:pPr>
      <w:r>
        <w:t xml:space="preserve">LỜI CAM ĐOAN</w:t>
      </w:r>
    </w:p>
    <w:p>
      <w:pPr>
        <w:pStyle w:val="FirstParagraph"/>
      </w:pPr>
      <w:r>
        <w:t xml:space="preserve">Tôi xin cam đoan chuyên đề tiến sĩ số 1 với tiêu đề</w:t>
      </w:r>
      <w:r>
        <w:t xml:space="preserve"> </w:t>
      </w:r>
      <w:r>
        <w:t xml:space="preserve">“</w:t>
      </w:r>
      <w:r>
        <w:t xml:space="preserve">Thực trạng về hiệu quả hoạt động kinh doanh của các doanh nghiệp ở Châu Á</w:t>
      </w:r>
      <w:r>
        <w:t xml:space="preserve">”</w:t>
      </w:r>
      <w:r>
        <w:t xml:space="preserve"> </w:t>
      </w:r>
      <w:r>
        <w:t xml:space="preserve">là công trình nghiên cứu của riêng tôi dưới sự hướng dẫn khoa học của TS. Nguyễn Minh Cảnh, Trường Đại học Cần Thơ. Các kết quả phân tích, số liệu, bảng biểu, hình vẽ trình bày trong chuyên đề đều trung thực, có nguồn gốc rõ ràng. Tài liệu tham khảo được trích dẫn theo chuẩn APA 7th. Những trích dẫn từ các nghiên cứu khác đều được nêu rõ trong danh mục tài liệu tham khảo. Tôi xin chịu trách nhiệm hoàn toàn về nội dung khoa học của chuyên đề này.</w:t>
      </w:r>
    </w:p>
    <w:p>
      <w:pPr>
        <w:pStyle w:val="BodyText"/>
      </w:pPr>
      <w:r>
        <w:rPr>
          <w:iCs/>
          <w:i/>
        </w:rPr>
        <w:t xml:space="preserve">Cần Thơ, ngày … tháng … năm 2026</w:t>
      </w:r>
    </w:p>
    <w:p>
      <w:pPr>
        <w:pStyle w:val="BodyText"/>
      </w:pPr>
      <w:r>
        <w:rPr>
          <w:iCs/>
          <w:i/>
        </w:rPr>
        <w:t xml:space="preserve">Nghiên cứu sinh</w:t>
      </w:r>
    </w:p>
    <w:p>
      <w:pPr>
        <w:pStyle w:val="BodyText"/>
      </w:pPr>
      <w:r>
        <w:rPr>
          <w:bCs/>
          <w:b/>
        </w:rPr>
        <w:t xml:space="preserve">Đỗ Thùy Hương</w:t>
      </w:r>
    </w:p>
    <w:p>
      <w:r>
        <w:pict>
          <v:rect style="width:0;height:1.5pt" o:hralign="center" o:hrstd="t" o:hr="t"/>
        </w:pict>
      </w:r>
    </w:p>
    <w:bookmarkEnd w:id="22"/>
    <w:bookmarkStart w:id="23" w:name="tóm-tắt"/>
    <w:p>
      <w:pPr>
        <w:pStyle w:val="Heading2"/>
      </w:pPr>
      <w:r>
        <w:t xml:space="preserve">TÓM TẮT</w:t>
      </w:r>
    </w:p>
    <w:p>
      <w:pPr>
        <w:pStyle w:val="FirstParagraph"/>
      </w:pPr>
      <w:r>
        <w:t xml:space="preserve">Chuyên đề này thực hiện phân tích mô tả – chẩn đoán (descriptive-diagnostic) thực trạng hiệu quả hoạt động kinh doanh của doanh nghiệp ở</w:t>
      </w:r>
      <w:r>
        <w:t xml:space="preserve"> </w:t>
      </w:r>
      <w:r>
        <w:rPr>
          <w:bCs/>
          <w:b/>
        </w:rPr>
        <w:t xml:space="preserve">các nền kinh tế châu Á (scope chính)</w:t>
      </w:r>
      <w:r>
        <w:t xml:space="preserve"> </w:t>
      </w:r>
      <w:r>
        <w:t xml:space="preserve">trong giai đoạn</w:t>
      </w:r>
      <w:r>
        <w:t xml:space="preserve"> </w:t>
      </w:r>
      <w:r>
        <w:rPr>
          <w:bCs/>
          <w:b/>
        </w:rPr>
        <w:t xml:space="preserve">2009–2025</w:t>
      </w:r>
      <w:r>
        <w:t xml:space="preserve">, mở rộng so sánh với SIDS Thái Bình Dương như trường hợp biên (boundary case extension). Cơ sở dữ liệu là</w:t>
      </w:r>
      <w:r>
        <w:t xml:space="preserve"> </w:t>
      </w:r>
      <w:r>
        <w:rPr>
          <w:bCs/>
          <w:b/>
        </w:rPr>
        <w:t xml:space="preserve">tổng hợp dữ liệu vi mô (pool) gồm 101.185 doanh nghiệp, 108 cặp quốc gia × năm và 14 mốc khảo sát</w:t>
      </w:r>
      <w:r>
        <w:t xml:space="preserve"> </w:t>
      </w:r>
      <w:r>
        <w:t xml:space="preserve">từ World Bank Enterprise Surveys (WBES). Tổng hợp này kế thừa và mở rộng từ 17 nước châu Á mới nổi (~40.633 doanh nghiệp) đã được tác giả công bố trước đó (Đỗ &amp; Phan, 2026, VEFR), bao trùm</w:t>
      </w:r>
      <w:r>
        <w:t xml:space="preserve"> </w:t>
      </w:r>
      <w:r>
        <w:rPr>
          <w:bCs/>
          <w:b/>
        </w:rPr>
        <w:t xml:space="preserve">47 nền kinh tế</w:t>
      </w:r>
      <w:r>
        <w:t xml:space="preserve"> </w:t>
      </w:r>
      <w:r>
        <w:t xml:space="preserve">với 6 phân nhóm con (sub-regime) theo khung Biến thiên chế độ thể chế (Institutional Context Regime Variation, ICRV): Advanced đổi mới sáng tạo dẫn dắt (innovation-driven, 5 nước), Advanced tài nguyên dẫn dắt (resource-driven, 5 nước), Upper-middle (6 nước), Emerging (7 nước), Frontier (17 nước), và Quốc đảo nhỏ Thái Bình Dương (Small Island Developing States, SIDS, 7 nước,</w:t>
      </w:r>
      <w:r>
        <w:t xml:space="preserve"> </w:t>
      </w:r>
      <w:r>
        <w:rPr>
          <w:bCs/>
          <w:b/>
        </w:rPr>
        <w:t xml:space="preserve">boundary case extension</w:t>
      </w:r>
      <w:r>
        <w:t xml:space="preserve">).</w:t>
      </w:r>
    </w:p>
    <w:p>
      <w:pPr>
        <w:pStyle w:val="BlockText"/>
      </w:pPr>
      <w:r>
        <w:rPr>
          <w:bCs/>
          <w:b/>
        </w:rPr>
        <w:t xml:space="preserve">Lưu ý phạm vi (scope clarification)</w:t>
      </w:r>
      <w:r>
        <w:t xml:space="preserve">: Tiêu đề luận án theo Quyết định 4769/QĐ-ĐHCT (15/10/2024) tập trung</w:t>
      </w:r>
      <w:r>
        <w:t xml:space="preserve"> </w:t>
      </w:r>
      <w:r>
        <w:rPr>
          <w:bCs/>
          <w:b/>
        </w:rPr>
        <w:t xml:space="preserve">“</w:t>
      </w:r>
      <w:r>
        <w:rPr>
          <w:bCs/>
          <w:b/>
        </w:rPr>
        <w:t xml:space="preserve">Châu Á</w:t>
      </w:r>
      <w:r>
        <w:rPr>
          <w:bCs/>
          <w:b/>
        </w:rPr>
        <w:t xml:space="preserve">”</w:t>
      </w:r>
      <w:r>
        <w:t xml:space="preserve"> </w:t>
      </w:r>
      <w:r>
        <w:t xml:space="preserve">thuần. Pool 47 nền kinh tế bao gồm</w:t>
      </w:r>
      <w:r>
        <w:t xml:space="preserve"> </w:t>
      </w:r>
      <w:r>
        <w:rPr>
          <w:bCs/>
          <w:b/>
        </w:rPr>
        <w:t xml:space="preserve">41 nước châu Á (scope chính)</w:t>
      </w:r>
      <w:r>
        <w:t xml:space="preserve"> </w:t>
      </w:r>
      <w:r>
        <w:t xml:space="preserve">cộng</w:t>
      </w:r>
      <w:r>
        <w:t xml:space="preserve"> </w:t>
      </w:r>
      <w:r>
        <w:rPr>
          <w:bCs/>
          <w:b/>
        </w:rPr>
        <w:t xml:space="preserve">7 SIDS Thái Bình Dương (Fiji, Papua New Guinea, Solomon Islands, Tonga, Vanuatu, Samoa, Kiribati) như trường hợp biên mở rộng (boundary case extension)</w:t>
      </w:r>
      <w:r>
        <w:t xml:space="preserve"> </w:t>
      </w:r>
      <w:r>
        <w:t xml:space="preserve">theo khung phân loại</w:t>
      </w:r>
      <w:r>
        <w:t xml:space="preserve"> </w:t>
      </w:r>
      <w:r>
        <w:t xml:space="preserve">“</w:t>
      </w:r>
      <w:r>
        <w:t xml:space="preserve">Asia and Pacific</w:t>
      </w:r>
      <w:r>
        <w:t xml:space="preserve">”</w:t>
      </w:r>
      <w:r>
        <w:t xml:space="preserve"> </w:t>
      </w:r>
      <w:r>
        <w:t xml:space="preserve">của Asian Development Bank Regional Classification và World Bank East Asia and Pacific (EAP) Region. SIDS Pacific (n=1.371,</w:t>
      </w:r>
      <w:r>
        <w:t xml:space="preserve"> </w:t>
      </w:r>
      <w:r>
        <w:rPr>
          <w:bCs/>
          <w:b/>
        </w:rPr>
        <w:t xml:space="preserve">1,4% pool</w:t>
      </w:r>
      <w:r>
        <w:t xml:space="preserve">)</w:t>
      </w:r>
      <w:r>
        <w:t xml:space="preserve"> </w:t>
      </w:r>
      <w:r>
        <w:rPr>
          <w:bCs/>
          <w:b/>
        </w:rPr>
        <w:t xml:space="preserve">không thuộc scope chính</w:t>
      </w:r>
      <w:r>
        <w:t xml:space="preserve"> </w:t>
      </w:r>
      <w:r>
        <w:t xml:space="preserve">của tiêu đề mà được đưa vào để minh họa các pattern châu Á qua tương phản, đặc biệt H6 (forced internationalization penalty) trong CĐ2. Chi tiết phân tích firm-level cho SIDS Pacific được trình bày trong phần phân tích các quốc đảo nhỏ Thái Bình Dương (SIDS) của luận án để bảo đảm scope coherence cho luận án.</w:t>
      </w:r>
    </w:p>
    <w:p>
      <w:pPr>
        <w:pStyle w:val="FirstParagraph"/>
      </w:pPr>
      <w:r>
        <w:t xml:space="preserve">Phương pháp chủ đạo là thống kê mô tả đa chiều, kết hợp đồ thị, bảng so sánh xuyên quốc gia – xuyên ngành và phân tích hai biến (bivariate). Hiệu quả hoạt động kinh doanh được tiếp cận theo bốn chiều: năng suất lao động, lợi nhuận và biên lợi nhuận, tăng trưởng, đổi mới sáng tạo và cấu trúc doanh nghiệp.</w:t>
      </w:r>
    </w:p>
    <w:p>
      <w:pPr>
        <w:pStyle w:val="BodyText"/>
      </w:pPr>
      <w:r>
        <w:t xml:space="preserve">Kết quả cho thấy hiệu quả doanh nghiệp châu Á có</w:t>
      </w:r>
      <w:r>
        <w:t xml:space="preserve"> </w:t>
      </w:r>
      <w:r>
        <w:rPr>
          <w:bCs/>
          <w:b/>
        </w:rPr>
        <w:t xml:space="preserve">phân tán (dispersion)</w:t>
      </w:r>
      <w:r>
        <w:t xml:space="preserve"> </w:t>
      </w:r>
      <w:r>
        <w:t xml:space="preserve">lớn và không hội tụ. Bảy tiểu cảnh điển hình tồn tại đồng thời (Singapore – Vùng Vịnh Saudi/Qatar/Kuwait – Việt Nam – Trung Quốc – Emerging Asia – Mongolia, sáu tiểu cảnh trong scope chính; SIDS Thái Bình Dương, tiểu cảnh boundary case) với điểm mạnh hiệu quả khác nhau. Tương quan giữa các yếu tố giải thích sơ bộ với hiệu quả thay đổi dấu và cường độ giữa các nhóm thể chế, gợi ý sự cần thiết của các mô hình phi tuyến và điều tiết trong các nghiên cứu tiếp theo. Chuyên đề phát hiện</w:t>
      </w:r>
      <w:r>
        <w:t xml:space="preserve"> </w:t>
      </w:r>
      <w:r>
        <w:rPr>
          <w:bCs/>
          <w:b/>
        </w:rPr>
        <w:t xml:space="preserve">phân nhóm con Advanced</w:t>
      </w:r>
      <w:r>
        <w:t xml:space="preserve"> </w:t>
      </w:r>
      <w:r>
        <w:t xml:space="preserve">(innovation- so với resource-driven) trong scope chính và xác nhận pattern</w:t>
      </w:r>
      <w:r>
        <w:t xml:space="preserve"> </w:t>
      </w:r>
      <w:r>
        <w:rPr>
          <w:bCs/>
          <w:b/>
        </w:rPr>
        <w:t xml:space="preserve">chi phí buộc phải quốc tế hóa (forced internationalization penalty)</w:t>
      </w:r>
      <w:r>
        <w:t xml:space="preserve"> </w:t>
      </w:r>
      <w:r>
        <w:t xml:space="preserve">ở 7 SIDS Thái Bình Dương boundary case, đóng góp định hướng cho luận án và Chuyên đề tiến sĩ số 2.</w:t>
      </w:r>
    </w:p>
    <w:p>
      <w:pPr>
        <w:pStyle w:val="BodyText"/>
      </w:pPr>
      <w:r>
        <w:rPr>
          <w:bCs/>
          <w:b/>
        </w:rPr>
        <w:t xml:space="preserve">Từ khóa</w:t>
      </w:r>
      <w:r>
        <w:t xml:space="preserve">: hiệu quả doanh nghiệp; châu Á; WBES; thực trạng; năng suất lao động; doanh nghiệp vừa và nhỏ; phân nhóm con Advanced; trường hợp biên SIDS Thái Bình Dương.</w:t>
      </w:r>
    </w:p>
    <w:p>
      <w:r>
        <w:pict>
          <v:rect style="width:0;height:1.5pt" o:hralign="center" o:hrstd="t" o:hr="t"/>
        </w:pict>
      </w:r>
    </w:p>
    <w:bookmarkEnd w:id="23"/>
    <w:bookmarkStart w:id="24" w:name="abstract"/>
    <w:p>
      <w:pPr>
        <w:pStyle w:val="Heading2"/>
      </w:pPr>
      <w:r>
        <w:t xml:space="preserve">ABSTRACT</w:t>
      </w:r>
    </w:p>
    <w:p>
      <w:pPr>
        <w:pStyle w:val="FirstParagraph"/>
      </w:pPr>
      <w:r>
        <w:t xml:space="preserve">This specialty essay conducts a descriptive-diagnostic analysis of the firm performance landscape across</w:t>
      </w:r>
      <w:r>
        <w:t xml:space="preserve"> </w:t>
      </w:r>
      <w:r>
        <w:rPr>
          <w:bCs/>
          <w:b/>
        </w:rPr>
        <w:t xml:space="preserve">Asian economies (primary scope)</w:t>
      </w:r>
      <w:r>
        <w:t xml:space="preserve"> </w:t>
      </w:r>
      <w:r>
        <w:t xml:space="preserve">during</w:t>
      </w:r>
      <w:r>
        <w:t xml:space="preserve"> </w:t>
      </w:r>
      <w:r>
        <w:rPr>
          <w:bCs/>
          <w:b/>
        </w:rPr>
        <w:t xml:space="preserve">2009–2025</w:t>
      </w:r>
      <w:r>
        <w:t xml:space="preserve">, with comparative extension to Pacific and Indian Ocean SIDS as a boundary case. The microdata pool contains</w:t>
      </w:r>
      <w:r>
        <w:t xml:space="preserve"> </w:t>
      </w:r>
      <w:r>
        <w:rPr>
          <w:bCs/>
          <w:b/>
        </w:rPr>
        <w:t xml:space="preserve">101,185 firms · 108 country-year pairs · 14 survey waves</w:t>
      </w:r>
      <w:r>
        <w:t xml:space="preserve"> </w:t>
      </w:r>
      <w:r>
        <w:t xml:space="preserve">from the World Bank Enterprise Surveys (WBES). Building on and extending the 17-economy pool of emerging Asia (~40,633 firms) previously published by the author (Do &amp; Phan, 2026, VEFR), the pool covers</w:t>
      </w:r>
      <w:r>
        <w:t xml:space="preserve"> </w:t>
      </w:r>
      <w:r>
        <w:rPr>
          <w:bCs/>
          <w:b/>
        </w:rPr>
        <w:t xml:space="preserve">47 economies</w:t>
      </w:r>
      <w:r>
        <w:t xml:space="preserve"> </w:t>
      </w:r>
      <w:r>
        <w:t xml:space="preserve">with six sub-regimes of ICRV (Institutional Context Regime Variation): Advanced innovation-driven (5), Advanced resource-driven (5), Upper-middle (6), Emerging (7), Frontier (17), Pacific and Indian Ocean SIDS (7,</w:t>
      </w:r>
      <w:r>
        <w:t xml:space="preserve"> </w:t>
      </w:r>
      <w:r>
        <w:rPr>
          <w:bCs/>
          <w:b/>
        </w:rPr>
        <w:t xml:space="preserve">boundary case extension</w:t>
      </w:r>
      <w:r>
        <w:t xml:space="preserve">).</w:t>
      </w:r>
    </w:p>
    <w:p>
      <w:pPr>
        <w:pStyle w:val="BlockText"/>
      </w:pPr>
      <w:r>
        <w:rPr>
          <w:bCs/>
          <w:b/>
        </w:rPr>
        <w:t xml:space="preserve">Scope clarification</w:t>
      </w:r>
      <w:r>
        <w:t xml:space="preserve">: The dissertation title under Decision 4769/QĐ-ĐHCT (October 15, 2024) focuses on</w:t>
      </w:r>
      <w:r>
        <w:t xml:space="preserve"> </w:t>
      </w:r>
      <w:r>
        <w:rPr>
          <w:bCs/>
          <w:b/>
        </w:rPr>
        <w:t xml:space="preserve">“</w:t>
      </w:r>
      <w:r>
        <w:rPr>
          <w:bCs/>
          <w:b/>
        </w:rPr>
        <w:t xml:space="preserve">Asia</w:t>
      </w:r>
      <w:r>
        <w:rPr>
          <w:bCs/>
          <w:b/>
        </w:rPr>
        <w:t xml:space="preserve">”</w:t>
      </w:r>
      <w:r>
        <w:t xml:space="preserve"> </w:t>
      </w:r>
      <w:r>
        <w:t xml:space="preserve">proper. The 47-economy pool comprises</w:t>
      </w:r>
      <w:r>
        <w:t xml:space="preserve"> </w:t>
      </w:r>
      <w:r>
        <w:rPr>
          <w:bCs/>
          <w:b/>
        </w:rPr>
        <w:t xml:space="preserve">41 Asian economies (primary scope)</w:t>
      </w:r>
      <w:r>
        <w:t xml:space="preserve"> </w:t>
      </w:r>
      <w:r>
        <w:t xml:space="preserve">and</w:t>
      </w:r>
      <w:r>
        <w:t xml:space="preserve"> </w:t>
      </w:r>
      <w:r>
        <w:rPr>
          <w:bCs/>
          <w:b/>
        </w:rPr>
        <w:t xml:space="preserve">7 Pacific and Indian Ocean SIDS (Fiji, Papua New Guinea, Solomon Islands, Tonga, Vanuatu, Samoa, Kiribati) as a boundary case extension</w:t>
      </w:r>
      <w:r>
        <w:t xml:space="preserve"> </w:t>
      </w:r>
      <w:r>
        <w:t xml:space="preserve">under the Asian Development Bank’s</w:t>
      </w:r>
      <w:r>
        <w:t xml:space="preserve"> </w:t>
      </w:r>
      <w:r>
        <w:t xml:space="preserve">“</w:t>
      </w:r>
      <w:r>
        <w:t xml:space="preserve">Asia and Pacific</w:t>
      </w:r>
      <w:r>
        <w:t xml:space="preserve">”</w:t>
      </w:r>
      <w:r>
        <w:t xml:space="preserve"> </w:t>
      </w:r>
      <w:r>
        <w:t xml:space="preserve">classification and the World Bank’s East Asia and Pacific (EAP) Region. Pacific and Indian Ocean SIDS (n=1,371,</w:t>
      </w:r>
      <w:r>
        <w:t xml:space="preserve"> </w:t>
      </w:r>
      <w:r>
        <w:rPr>
          <w:bCs/>
          <w:b/>
        </w:rPr>
        <w:t xml:space="preserve">1.4% of pool</w:t>
      </w:r>
      <w:r>
        <w:t xml:space="preserve">) does NOT belong to the primary scope but is included to illuminate Asian patterns through contrast, particularly H6 (forced internationalization penalty) in Specialty Essay 2. Detailed firm-level analysis for Pacific and Indian Ocean SIDS is presented in the dissertation’s own Pacific Small Island Developing States (SIDS) analysis to maintain scope coherence for the dissertation.</w:t>
      </w:r>
    </w:p>
    <w:p>
      <w:pPr>
        <w:pStyle w:val="FirstParagraph"/>
      </w:pPr>
      <w:r>
        <w:t xml:space="preserve">Adopting multidimensional descriptive statistics, charts, cross-country–cross-industry comparison tables and bivariate analyses, the study examines firm performance along four axes: labor productivity, profitability and margins, growth, and innovation and structural composition. Findings indicate substantial and persistent dispersion in firm performance across Asian economies with no convergence pattern; six salient archetypes (Singapore, Saudi/Qatar/Kuwait, Vietnam, China, broader Emerging Asia, Mongolia, primary scope) plus Pacific and Indian Ocean SIDS as boundary case coexist with distinct performance strengths; bivariate correlations vary in sign and magnitude across regimes, suggesting nonlinear and moderation models. The essay identifies a sub-grouping of the Advanced regime (innovation- vs resource-driven) within primary Asian scope and confirms the forced internationalization penalty pattern in 7 Pacific and Indian Ocean SIDS boundary case, orienting contributions for the dissertation and Specialty Essay 2.</w:t>
      </w:r>
    </w:p>
    <w:p>
      <w:pPr>
        <w:pStyle w:val="BodyText"/>
      </w:pPr>
      <w:r>
        <w:rPr>
          <w:bCs/>
          <w:b/>
        </w:rPr>
        <w:t xml:space="preserve">Keywords</w:t>
      </w:r>
      <w:r>
        <w:t xml:space="preserve">: firm performance; Asia; WBES; landscape; labor productivity; SMEs; Advanced sub-grouping; Pacific and Indian Ocean SIDS boundary case.</w:t>
      </w:r>
    </w:p>
    <w:p>
      <w:r>
        <w:pict>
          <v:rect style="width:0;height:1.5pt" o:hralign="center" o:hrstd="t" o:hr="t"/>
        </w:pict>
      </w:r>
    </w:p>
    <w:bookmarkEnd w:id="24"/>
    <w:bookmarkStart w:id="25" w:name="mục-lục"/>
    <w:p>
      <w:pPr>
        <w:pStyle w:val="Heading2"/>
      </w:pPr>
      <w:r>
        <w:t xml:space="preserve">MỤC LỤC</w:t>
      </w:r>
    </w:p>
    <w:p>
      <w:pPr>
        <w:pStyle w:val="FirstParagraph"/>
      </w:pPr>
      <w:r>
        <w:t xml:space="preserve">(Tự động tạo khi xuất Word/PDF từ markdown, căn cứ heading H2/H3.)</w:t>
      </w:r>
    </w:p>
    <w:p>
      <w:r>
        <w:pict>
          <v:rect style="width:0;height:1.5pt" o:hralign="center" o:hrstd="t" o:hr="t"/>
        </w:pict>
      </w:r>
    </w:p>
    <w:bookmarkEnd w:id="25"/>
    <w:bookmarkStart w:id="26" w:name="danh-mục-bảng"/>
    <w:p>
      <w:pPr>
        <w:pStyle w:val="Heading2"/>
      </w:pPr>
      <w:r>
        <w:t xml:space="preserve">DANH MỤC BẢNG</w:t>
      </w:r>
    </w:p>
    <w:p>
      <w:pPr>
        <w:pStyle w:val="FirstParagraph"/>
      </w:pPr>
      <w:r>
        <w:t xml:space="preserve">(10 bảng từ §2.1 đến §2.3.3.1, danh mục tự động tạo khi xuất Word/PDF.)</w:t>
      </w:r>
    </w:p>
    <w:bookmarkEnd w:id="26"/>
    <w:bookmarkStart w:id="27" w:name="danh-mục-hình"/>
    <w:p>
      <w:pPr>
        <w:pStyle w:val="Heading2"/>
      </w:pPr>
      <w:r>
        <w:t xml:space="preserve">DANH MỤC HÌNH</w:t>
      </w:r>
    </w:p>
    <w:p>
      <w:pPr>
        <w:pStyle w:val="FirstParagraph"/>
      </w:pPr>
      <w:r>
        <w:t xml:space="preserve">(11 hình ở</w:t>
      </w:r>
      <w:r>
        <w:t xml:space="preserve"> </w:t>
      </w:r>
      <w:r>
        <w:rPr>
          <w:rStyle w:val="VerbatimChar"/>
        </w:rPr>
        <w:t xml:space="preserve">thesis/figures/</w:t>
      </w:r>
      <w:r>
        <w:t xml:space="preserve">, danh mục tự động tạo khi xuất Word/PDF.)</w:t>
      </w:r>
    </w:p>
    <w:bookmarkEnd w:id="27"/>
    <w:bookmarkStart w:id="28" w:name="danh-mục-từ-viết-tắt"/>
    <w:p>
      <w:pPr>
        <w:pStyle w:val="Heading2"/>
      </w:pPr>
      <w:r>
        <w:t xml:space="preserve">DANH MỤC TỪ VIẾT TẮT</w:t>
      </w:r>
    </w:p>
    <w:p>
      <w:pPr>
        <w:pStyle w:val="FirstParagraph"/>
      </w:pPr>
      <w:r>
        <w:t xml:space="preserve">(Hơn 30 từ viết tắt với giải thích Việt-Anh.)</w:t>
      </w:r>
    </w:p>
    <w:p>
      <w:r>
        <w:pict>
          <v:rect style="width:0;height:1.5pt" o:hralign="center" o:hrstd="t" o:hr="t"/>
        </w:pict>
      </w:r>
    </w:p>
    <w:bookmarkEnd w:id="28"/>
    <w:bookmarkStart w:id="104" w:name="phần-2-nội-dung-chuyên-đề"/>
    <w:p>
      <w:pPr>
        <w:pStyle w:val="Heading2"/>
      </w:pPr>
      <w:r>
        <w:t xml:space="preserve">PHẦN 2 — NỘI DUNG CHUYÊN ĐỀ</w:t>
      </w:r>
    </w:p>
    <w:bookmarkStart w:id="35" w:name="đặt-vấn-đề"/>
    <w:p>
      <w:pPr>
        <w:pStyle w:val="Heading3"/>
      </w:pPr>
      <w:r>
        <w:t xml:space="preserve">2.1 Đặt vấn đề</w:t>
      </w:r>
    </w:p>
    <w:bookmarkStart w:id="29" w:name="giới-thiệu"/>
    <w:p>
      <w:pPr>
        <w:pStyle w:val="Heading4"/>
      </w:pPr>
      <w:r>
        <w:t xml:space="preserve">2.1.1 Giới thiệu</w:t>
      </w:r>
    </w:p>
    <w:p>
      <w:pPr>
        <w:pStyle w:val="FirstParagraph"/>
      </w:pPr>
      <w:r>
        <w:t xml:space="preserve">Khu vực châu Á đã trở thành</w:t>
      </w:r>
      <w:r>
        <w:t xml:space="preserve"> </w:t>
      </w:r>
      <w:r>
        <w:rPr>
          <w:bCs/>
          <w:b/>
        </w:rPr>
        <w:t xml:space="preserve">động lực</w:t>
      </w:r>
      <w:r>
        <w:t xml:space="preserve"> </w:t>
      </w:r>
      <w:r>
        <w:t xml:space="preserve">tăng trưởng của kinh tế thế giới trong gần hai thập niên qua. Theo Asian Development Bank (ADB, 2024), châu Á đóng góp khoảng 60% tăng trưởng GDP toàn cầu giai đoạn 2010–2023, với tổng quy mô kinh tế chiếm xấp xỉ 40% GDP toàn cầu (World Bank, 2024). Bên trong khu vực, hiệu quả hoạt động của doanh nghiệp – đơn vị tế bào của nền kinh tế – là yếu tố quyết định mức độ chuyển hoá tăng trưởng quốc gia thành</w:t>
      </w:r>
      <w:r>
        <w:t xml:space="preserve"> </w:t>
      </w:r>
      <w:r>
        <w:rPr>
          <w:bCs/>
          <w:b/>
        </w:rPr>
        <w:t xml:space="preserve">thịnh vượng</w:t>
      </w:r>
      <w:r>
        <w:t xml:space="preserve"> </w:t>
      </w:r>
      <w:r>
        <w:t xml:space="preserve">và năng lực cạnh tranh dài hạn (Cusolito &amp; Maloney, 2018). Vì vậy, đánh giá thực trạng hiệu quả hoạt động kinh doanh của doanh nghiệp ở châu Á có ý nghĩa lý luận lẫn chính sách.</w:t>
      </w:r>
    </w:p>
    <w:p>
      <w:pPr>
        <w:pStyle w:val="BodyText"/>
      </w:pPr>
      <w:r>
        <w:t xml:space="preserve">Bức tranh hiệu quả doanh nghiệp châu Á 2009–2025 được định hình bởi</w:t>
      </w:r>
      <w:r>
        <w:t xml:space="preserve"> </w:t>
      </w:r>
      <w:r>
        <w:rPr>
          <w:bCs/>
          <w:b/>
        </w:rPr>
        <w:t xml:space="preserve">bảy lớp bối cảnh đan xen</w:t>
      </w:r>
      <w:r>
        <w:t xml:space="preserve">. Bốn lớp đầu gồm: hậu khủng hoảng tài chính toàn cầu 2008–2009; tái cấu trúc chuỗi giá trị toàn cầu sau chiến tranh thương mại Mỹ – Trung 2018 (UNCTAD, 2023); đại dịch COVID-19 2020–2022 (World Bank, 2023); và làn sóng chuyển đổi số tăng tốc từ 2018 (Verhoef et al., 2021; Banalieva &amp; Dhanaraj, 2019). Lớp thứ năm là</w:t>
      </w:r>
      <w:r>
        <w:t xml:space="preserve"> </w:t>
      </w:r>
      <w:r>
        <w:rPr>
          <w:bCs/>
          <w:b/>
        </w:rPr>
        <w:t xml:space="preserve">giai đoạn AI bùng nổ và củng cố hậu COVID 2023–2025</w:t>
      </w:r>
      <w:r>
        <w:t xml:space="preserve"> </w:t>
      </w:r>
      <w:r>
        <w:t xml:space="preserve">(Stallkamp &amp; Schotter, 2021).</w:t>
      </w:r>
      <w:r>
        <w:t xml:space="preserve"> </w:t>
      </w:r>
      <w:r>
        <w:rPr>
          <w:bCs/>
          <w:b/>
        </w:rPr>
        <w:t xml:space="preserve">Lớp thứ sáu là xung đột Trung Đông 2026</w:t>
      </w:r>
      <w:r>
        <w:t xml:space="preserve">: IMF (2026, April) điều chỉnh giảm tăng trưởng toàn cầu xuống 3,1% năm 2026 và giảm dự báo Saudi Arabia mạnh từ ~4,5% xuống 3,1% do giảm sản lượng dầu; ADB (2026, April) trong báo cáo</w:t>
      </w:r>
      <w:r>
        <w:t xml:space="preserve"> </w:t>
      </w:r>
      <w:r>
        <w:rPr>
          <w:iCs/>
          <w:i/>
        </w:rPr>
        <w:t xml:space="preserve">Asian Development Outlook April 2026: The Middle East Conflict Challenges Resilience in Asia and the Pacific</w:t>
      </w:r>
      <w:r>
        <w:t xml:space="preserve"> </w:t>
      </w:r>
      <w:r>
        <w:t xml:space="preserve">dự báo Pacific 3,4%, Đông Nam Á 4,7%, Việt Nam 7,0%.</w:t>
      </w:r>
      <w:r>
        <w:t xml:space="preserve"> </w:t>
      </w:r>
      <w:r>
        <w:rPr>
          <w:bCs/>
          <w:b/>
        </w:rPr>
        <w:t xml:space="preserve">Riêng Việt Nam, ADB (2026, April, Vietnam Economic Outlook) ghi nhận GDP lịch sử 2025 đạt 8,0%</w:t>
      </w:r>
      <w:r>
        <w:t xml:space="preserve">, mức cao nhất khu vực Đông Nam Á, và cập nhật dự báo</w:t>
      </w:r>
      <w:r>
        <w:t xml:space="preserve"> </w:t>
      </w:r>
      <w:r>
        <w:rPr>
          <w:bCs/>
          <w:b/>
        </w:rPr>
        <w:t xml:space="preserve">7,2% (2026) → 7,0% (2027)</w:t>
      </w:r>
      <w:r>
        <w:t xml:space="preserve"> </w:t>
      </w:r>
      <w:r>
        <w:t xml:space="preserve">(đường giảm 8,0% → 7,2% → 7,0%, vượt mức bình quân ASEAN 4,6% và Đông Nam Á 4,7%), với động lực từ FDI commitment $2,4 tỷ qua 18 dự án chiến lược (fintech, năng lượng sạch, logistics), năng suất lao động dự phóng +5,1% giai đoạn 2026-2027 và FDI manufacturing tiến vào</w:t>
      </w:r>
      <w:r>
        <w:t xml:space="preserve"> </w:t>
      </w:r>
      <w:r>
        <w:t xml:space="preserve">“</w:t>
      </w:r>
      <w:r>
        <w:t xml:space="preserve">higher-value</w:t>
      </w:r>
      <w:r>
        <w:t xml:space="preserve">”</w:t>
      </w:r>
      <w:r>
        <w:t xml:space="preserve"> </w:t>
      </w:r>
      <w:r>
        <w:t xml:space="preserve">stage.</w:t>
      </w:r>
      <w:r>
        <w:t xml:space="preserve"> </w:t>
      </w:r>
      <w:r>
        <w:rPr>
          <w:bCs/>
          <w:b/>
        </w:rPr>
        <w:t xml:space="preserve">Lớp thứ bảy là bất định chính sách thuế quan Mỹ 2026</w:t>
      </w:r>
      <w:r>
        <w:t xml:space="preserve">: Mỹ chiếm xấp xỉ</w:t>
      </w:r>
      <w:r>
        <w:t xml:space="preserve"> </w:t>
      </w:r>
      <w:r>
        <w:rPr>
          <w:bCs/>
          <w:b/>
        </w:rPr>
        <w:t xml:space="preserve">30% tổng kim ngạch xuất khẩu Việt Nam</w:t>
      </w:r>
      <w:r>
        <w:t xml:space="preserve"> </w:t>
      </w:r>
      <w:r>
        <w:t xml:space="preserve">(đối tác thương mại lớn nhất); thuế toàn cầu 10% tạm thời áp dụng đầu 2026 (nguy cơ tăng lên 15% trong nửa cuối năm) tạo áp lực kép lên doanh nghiệp xuất khẩu châu Á: (a)</w:t>
      </w:r>
      <w:r>
        <w:t xml:space="preserve"> </w:t>
      </w:r>
      <w:r>
        <w:rPr>
          <w:bCs/>
          <w:b/>
        </w:rPr>
        <w:t xml:space="preserve">front-loading effect</w:t>
      </w:r>
      <w:r>
        <w:t xml:space="preserve">: đẩy nhanh giao hàng ngắn hạn nhằm tận dụng cửa sổ thuế thấp, boost doanh thu 2025 (8,0%) nhưng làm giảm đà tăng trưởng 2026-2027; (b)</w:t>
      </w:r>
      <w:r>
        <w:t xml:space="preserve"> </w:t>
      </w:r>
      <w:r>
        <w:rPr>
          <w:bCs/>
          <w:b/>
        </w:rPr>
        <w:t xml:space="preserve">trì hoãn đầu tư</w:t>
      </w:r>
      <w:r>
        <w:t xml:space="preserve"> </w:t>
      </w:r>
      <w:r>
        <w:t xml:space="preserve">do bất định chính sách (policy uncertainty) → cắt giảm CapEx + R&amp;D; (c)</w:t>
      </w:r>
      <w:r>
        <w:t xml:space="preserve"> </w:t>
      </w:r>
      <w:r>
        <w:rPr>
          <w:bCs/>
          <w:b/>
        </w:rPr>
        <w:t xml:space="preserve">phân hóa giữa tập đoàn lớn và SME</w:t>
      </w:r>
      <w:r>
        <w:t xml:space="preserve">: tập đoàn lớn có khả năng hấp thụ tariff cost cao hơn (đa thị trường, hedging tài chính, chuỗi cung ứng đa lớp); SME chịu áp lực biên lợi nhuận và phải lựa chọn giữa hấp thụ cost vs chuyển giá khách hàng (tác giả, ghi chú phân tích nội bộ, 2026; ADB Vietnam Economic Outlook 2026). Bảy lớp bối cảnh này tác động không đồng đều đến các nhóm nền kinh tế châu Á.</w:t>
      </w:r>
    </w:p>
    <w:p>
      <w:pPr>
        <w:pStyle w:val="BodyText"/>
      </w:pPr>
      <w:r>
        <w:t xml:space="preserve">Trong bối cảnh đó, hệ thống thông tin về hiệu quả doanh nghiệp châu Á còn phân mảnh. World Bank Enterprise Surveys (WBES) là cơ sở dữ liệu vi mô tin cậy và có tính so sánh xuyên quốc gia tốt nhất hiện có (World Bank Enterprise Surveys, 2025). Đỗ và Phan (2026, VEFR) đã mở rộng phạm vi WBES đến 17 nền kinh tế châu Á mới nổi với ~40.633 doanh nghiệp, ghi nhận pattern</w:t>
      </w:r>
      <w:r>
        <w:t xml:space="preserve"> </w:t>
      </w:r>
      <w:r>
        <w:t xml:space="preserve">“</w:t>
      </w:r>
      <w:r>
        <w:rPr>
          <w:bCs/>
          <w:b/>
        </w:rPr>
        <w:t xml:space="preserve">hiệu ứng thay thế số cho thể chế (digital shield effect)</w:t>
      </w:r>
      <w:r>
        <w:t xml:space="preserve">”</w:t>
      </w:r>
      <w:r>
        <w:t xml:space="preserve">. Tuy nhiên, vẫn còn ít có tổng hợp xuyên 47 nền kinh tế trên giai đoạn dài 2009–2025 sau khi hài hòa ba thế hệ khung dữ liệu (PICS3, WBES Standardized, BREADY/BEE).</w:t>
      </w:r>
    </w:p>
    <w:p>
      <w:pPr>
        <w:pStyle w:val="BodyText"/>
      </w:pPr>
      <w:r>
        <w:t xml:space="preserve">Vì vậy, chuyên đề này lấp khoảng trống thực tiễn bằng việc cập nhật</w:t>
      </w:r>
      <w:r>
        <w:t xml:space="preserve"> </w:t>
      </w:r>
      <w:r>
        <w:rPr>
          <w:bCs/>
          <w:b/>
        </w:rPr>
        <w:t xml:space="preserve">pattern điển hình (stylized facts)</w:t>
      </w:r>
      <w:r>
        <w:t xml:space="preserve"> </w:t>
      </w:r>
      <w:r>
        <w:t xml:space="preserve">đa chiều về hiệu quả doanh nghiệp châu Á. Tổng hợp dữ liệu (pool)</w:t>
      </w:r>
      <w:r>
        <w:t xml:space="preserve"> </w:t>
      </w:r>
      <w:r>
        <w:rPr>
          <w:bCs/>
          <w:b/>
        </w:rPr>
        <w:t xml:space="preserve">101.185 doanh nghiệp xuyên 47 nền kinh tế × 108 cặp quốc gia × năm × 14 mốc khảo sát</w:t>
      </w:r>
      <w:r>
        <w:t xml:space="preserve">, gấp 2,5 lần phạm vi của Đỗ &amp; Phan (2026, VEFR). Đây là phạm vi rộng nhất từng có cho nghiên cứu I→P trong các nghiên cứu IB hiện hành. Năm 2025 có</w:t>
      </w:r>
      <w:r>
        <w:t xml:space="preserve"> </w:t>
      </w:r>
      <w:r>
        <w:rPr>
          <w:bCs/>
          <w:b/>
        </w:rPr>
        <w:t xml:space="preserve">14 đợt khảo sát với 17.107 doanh nghiệp</w:t>
      </w:r>
      <w:r>
        <w:t xml:space="preserve"> </w:t>
      </w:r>
      <w:r>
        <w:t xml:space="preserve">(gồm cả Kiribati 2025).</w:t>
      </w:r>
    </w:p>
    <w:p>
      <w:pPr>
        <w:pStyle w:val="BodyText"/>
      </w:pPr>
      <w:r>
        <w:rPr>
          <w:bCs/>
          <w:b/>
        </w:rPr>
        <w:t xml:space="preserve">Ẩn dụ Fiji vs Singapore</w:t>
      </w:r>
      <w:r>
        <w:t xml:space="preserve">: Trường hợp Fiji 2025 với tỷ lệ website 74,8%</w:t>
      </w:r>
      <w:r>
        <w:t xml:space="preserve"> </w:t>
      </w:r>
      <w:r>
        <w:rPr>
          <w:bCs/>
          <w:b/>
        </w:rPr>
        <w:t xml:space="preserve">vượt Singapore 66,1%</w:t>
      </w:r>
      <w:r>
        <w:t xml:space="preserve"> </w:t>
      </w:r>
      <w:r>
        <w:t xml:space="preserve">(xem Bảng 4.10 mục §2.3.1 chuyên đề) là minh họa rõ nhất cho ranh giới giữa</w:t>
      </w:r>
      <w:r>
        <w:t xml:space="preserve"> </w:t>
      </w:r>
      <w:r>
        <w:t xml:space="preserve">“</w:t>
      </w:r>
      <w:r>
        <w:t xml:space="preserve">lý thuyết Uppsala vận hành ở điểm tối ưu</w:t>
      </w:r>
      <w:r>
        <w:t xml:space="preserve">”</w:t>
      </w:r>
      <w:r>
        <w:t xml:space="preserve"> </w:t>
      </w:r>
      <w:r>
        <w:t xml:space="preserve">và</w:t>
      </w:r>
      <w:r>
        <w:t xml:space="preserve"> </w:t>
      </w:r>
      <w:r>
        <w:t xml:space="preserve">“</w:t>
      </w:r>
      <w:r>
        <w:t xml:space="preserve">lý thuyết Uppsala bị biến dạng thành đường cong đảo ngược ở điều kiện biên</w:t>
      </w:r>
      <w:r>
        <w:t xml:space="preserve">”</w:t>
      </w:r>
      <w:r>
        <w:t xml:space="preserve">. Đối với Fiji và 6 SIDS Pacific khác,</w:t>
      </w:r>
      <w:r>
        <w:t xml:space="preserve"> </w:t>
      </w:r>
      <w:r>
        <w:rPr>
          <w:bCs/>
          <w:b/>
        </w:rPr>
        <w:t xml:space="preserve">số hóa không phải công cụ tối ưu hóa chuỗi cung ứng mà là phương tiện sinh tồn. Website không phải chiến lược marketing mà là cánh cửa duy nhất kết nối với thế giới</w:t>
      </w:r>
      <w:r>
        <w:t xml:space="preserve"> </w:t>
      </w:r>
      <w:r>
        <w:t xml:space="preserve">(tác giả, ghi chú phân tích nội bộ, 2026). Ẩn dụ này dẫn vào §2.6 (3 điều kiện cấu trúc của U-curve) và §2.3.2.7 (SIDS Pacific case mục §2.3.2–§2.4 chuyên đề), nơi điều kiện biên của lý thuyết Lu &amp; Beamish (2004) được thiết lập rõ ràng.</w:t>
      </w:r>
    </w:p>
    <w:bookmarkEnd w:id="29"/>
    <w:bookmarkStart w:id="30" w:name="mục-tiêu-chuyên-đề"/>
    <w:p>
      <w:pPr>
        <w:pStyle w:val="Heading4"/>
      </w:pPr>
      <w:r>
        <w:t xml:space="preserve">2.1.2 Mục tiêu chuyên đề</w:t>
      </w:r>
    </w:p>
    <w:p>
      <w:pPr>
        <w:pStyle w:val="FirstParagraph"/>
      </w:pPr>
      <w:r>
        <w:rPr>
          <w:bCs/>
          <w:b/>
        </w:rPr>
        <w:t xml:space="preserve">Mục tiêu chung</w:t>
      </w:r>
      <w:r>
        <w:t xml:space="preserve">: Hệ thống hóa và phân tích mô tả thực trạng hiệu quả hoạt động kinh doanh của các doanh nghiệp ở</w:t>
      </w:r>
      <w:r>
        <w:t xml:space="preserve"> </w:t>
      </w:r>
      <w:r>
        <w:rPr>
          <w:bCs/>
          <w:b/>
        </w:rPr>
        <w:t xml:space="preserve">47 nền kinh tế châu Á và Thái Bình Dương</w:t>
      </w:r>
      <w:r>
        <w:t xml:space="preserve"> </w:t>
      </w:r>
      <w:r>
        <w:t xml:space="preserve">(41 nền kinh tế châu Á + 7 SIDS Thái Bình Dương boundary extension; pool 101.185 doanh nghiệp) trong giai đoạn</w:t>
      </w:r>
      <w:r>
        <w:t xml:space="preserve"> </w:t>
      </w:r>
      <w:r>
        <w:rPr>
          <w:bCs/>
          <w:b/>
        </w:rPr>
        <w:t xml:space="preserve">2009–2025</w:t>
      </w:r>
      <w:r>
        <w:t xml:space="preserve">.</w:t>
      </w:r>
    </w:p>
    <w:p>
      <w:pPr>
        <w:pStyle w:val="BodyText"/>
      </w:pPr>
      <w:r>
        <w:rPr>
          <w:bCs/>
          <w:b/>
        </w:rPr>
        <w:t xml:space="preserve">Mục tiêu cụ thể</w:t>
      </w:r>
      <w:r>
        <w:t xml:space="preserve">:</w:t>
      </w:r>
    </w:p>
    <w:p>
      <w:pPr>
        <w:numPr>
          <w:ilvl w:val="0"/>
          <w:numId w:val="1001"/>
        </w:numPr>
        <w:pStyle w:val="Compact"/>
      </w:pPr>
      <w:r>
        <w:t xml:space="preserve">Hệ thống hóa khái niệm và đa chiều đo lường hiệu quả hoạt động kinh doanh trong các nghiên cứu hiện hành;</w:t>
      </w:r>
    </w:p>
    <w:p>
      <w:pPr>
        <w:numPr>
          <w:ilvl w:val="0"/>
          <w:numId w:val="1001"/>
        </w:numPr>
        <w:pStyle w:val="Compact"/>
      </w:pPr>
      <w:r>
        <w:t xml:space="preserve">Đề xuất khung phân loại 6 phân nhóm con ICRV cho 47 nền kinh tế (5 phân nhóm châu Á thuần + 1 phân nhóm boundary SIDS Pacific);</w:t>
      </w:r>
    </w:p>
    <w:p>
      <w:pPr>
        <w:numPr>
          <w:ilvl w:val="0"/>
          <w:numId w:val="1001"/>
        </w:numPr>
        <w:pStyle w:val="Compact"/>
      </w:pPr>
      <w:r>
        <w:t xml:space="preserve">Phân tích thực trạng đa chiều hiệu quả doanh nghiệp ở</w:t>
      </w:r>
      <w:r>
        <w:t xml:space="preserve"> </w:t>
      </w:r>
      <w:r>
        <w:rPr>
          <w:bCs/>
          <w:b/>
        </w:rPr>
        <w:t xml:space="preserve">41 nước châu Á (scope chính)</w:t>
      </w:r>
      <w:r>
        <w:t xml:space="preserve"> </w:t>
      </w:r>
      <w:r>
        <w:t xml:space="preserve">+ so sánh với 7 SIDS Pacific (boundary case);</w:t>
      </w:r>
    </w:p>
    <w:p>
      <w:pPr>
        <w:numPr>
          <w:ilvl w:val="0"/>
          <w:numId w:val="1001"/>
        </w:numPr>
        <w:pStyle w:val="Compact"/>
      </w:pPr>
      <w:r>
        <w:t xml:space="preserve">Nhận diện đặc điểm và yếu tố giải thích sơ bộ cho dị biệt hiệu quả giữa các phân nhóm thể chế và giữa các nhóm doanh nghiệp;</w:t>
      </w:r>
    </w:p>
    <w:p>
      <w:pPr>
        <w:numPr>
          <w:ilvl w:val="0"/>
          <w:numId w:val="1001"/>
        </w:numPr>
        <w:pStyle w:val="Compact"/>
      </w:pPr>
      <w:r>
        <w:t xml:space="preserve">Đề xuất khoảng trống thực tiễn để định hướng nghiên cứu tiếp theo.</w:t>
      </w:r>
    </w:p>
    <w:bookmarkEnd w:id="30"/>
    <w:bookmarkStart w:id="31" w:name="nội-dung-phương-pháp-tiếp-cận-tổng-quan"/>
    <w:p>
      <w:pPr>
        <w:pStyle w:val="Heading4"/>
      </w:pPr>
      <w:r>
        <w:t xml:space="preserve">2.1.3 Nội dung (phương pháp tiếp cận tổng quan)</w:t>
      </w:r>
    </w:p>
    <w:p>
      <w:pPr>
        <w:pStyle w:val="FirstParagraph"/>
      </w:pPr>
      <w:r>
        <w:t xml:space="preserve">Chuyên đề tiếp cận theo lối</w:t>
      </w:r>
      <w:r>
        <w:t xml:space="preserve"> </w:t>
      </w:r>
      <w:r>
        <w:rPr>
          <w:bCs/>
          <w:b/>
        </w:rPr>
        <w:t xml:space="preserve">mô tả – chẩn đoán</w:t>
      </w:r>
      <w:r>
        <w:t xml:space="preserve"> </w:t>
      </w:r>
      <w:r>
        <w:t xml:space="preserve">(descriptive-diagnostic), không thiết lập mô hình hồi quy đa biến để kiểm định nhân quả. Phương pháp này cung cấp bức tranh tổng thể đáng tin cậy làm nền tảng thực tiễn cho Chuyên đề 2 (mô hình lý thuyết và thực nghiêm) và luận án (kiểm định thực nghiệm).</w:t>
      </w:r>
    </w:p>
    <w:p>
      <w:pPr>
        <w:pStyle w:val="BodyText"/>
      </w:pPr>
      <w:r>
        <w:t xml:space="preserve">Cụ thể, chuyên đề kết hợp ba kỹ thuật: (a) thống kê mô tả đa biến (trung vị, trung bình, độ phân tán, kurtosis) theo phân nhóm thể chế và theo ngành; (b) trực quan hóa dữ liệu (heatmap, kernel density, spider chart, scatter plot, 11 hình); (c) phân tích hai biến (bivariate). Khung PESTEL bổ trợ ở cấp độ giải thích bối cảnh.</w:t>
      </w:r>
    </w:p>
    <w:p>
      <w:pPr>
        <w:pStyle w:val="BodyText"/>
      </w:pPr>
      <w:r>
        <w:rPr>
          <w:bCs/>
          <w:b/>
        </w:rPr>
        <w:t xml:space="preserve">Áp dụng nguyên tắc transparent data section của Aguinis et al. (2019,</w:t>
      </w:r>
      <w:r>
        <w:rPr>
          <w:bCs/>
          <w:b/>
        </w:rPr>
        <w:t xml:space="preserve"> </w:t>
      </w:r>
      <w:r>
        <w:rPr>
          <w:iCs/>
          <w:i/>
          <w:bCs/>
          <w:b/>
        </w:rPr>
        <w:t xml:space="preserve">Journal of Management</w:t>
      </w:r>
      <w:r>
        <w:rPr>
          <w:bCs/>
          <w:b/>
        </w:rPr>
        <w:t xml:space="preserve">)</w:t>
      </w:r>
      <w:r>
        <w:t xml:space="preserve">: chuyên đề trình bày rõ (i) population definition (47 nền kinh tế Asia + Pacific với phân tách 41 vs 7); (ii) sampling procedure (WBES official sampling); (iii) sample size justification (pool 101.185); (iv) response rate (per WBES Country Profile each); (v) missing data handling (FSTS = d3b + d3c, winsorize 1/99); (vi) operationalization variables; (vii) reliability/validity (TCI = R&amp;D + ISO multi-component aspirational, DAI = website single-component trong Spec 1, multi-component trong Spec 2); (viii) estimation method (descriptive only in CĐ1; OLS + IV in CĐ2); (ix) standard errors (n/a CĐ1); (x) robustness (cross-validate with VEFR baseline 17 nước); (xi) open science (replication package</w:t>
      </w:r>
      <w:r>
        <w:t xml:space="preserve"> </w:t>
      </w:r>
      <w:r>
        <w:rPr>
          <w:rStyle w:val="VerbatimChar"/>
        </w:rPr>
        <w:t xml:space="preserve">wbes/</w:t>
      </w:r>
      <w:r>
        <w:t xml:space="preserve"> </w:t>
      </w:r>
      <w:r>
        <w:t xml:space="preserve">+</w:t>
      </w:r>
      <w:r>
        <w:t xml:space="preserve"> </w:t>
      </w:r>
      <w:r>
        <w:rPr>
          <w:rStyle w:val="VerbatimChar"/>
        </w:rPr>
        <w:t xml:space="preserve">papers/</w:t>
      </w:r>
      <w:r>
        <w:t xml:space="preserve"> </w:t>
      </w:r>
      <w:r>
        <w:t xml:space="preserve">+</w:t>
      </w:r>
      <w:r>
        <w:t xml:space="preserve"> </w:t>
      </w:r>
      <w:r>
        <w:rPr>
          <w:rStyle w:val="VerbatimChar"/>
        </w:rPr>
        <w:t xml:space="preserve">figures/</w:t>
      </w:r>
      <w:r>
        <w:t xml:space="preserve">); (xii) data sharing (WBES public + processed pool documented in Phụ lục E).</w:t>
      </w:r>
    </w:p>
    <w:p>
      <w:pPr>
        <w:pStyle w:val="BodyText"/>
      </w:pPr>
      <w:r>
        <w:rPr>
          <w:bCs/>
          <w:b/>
        </w:rPr>
        <w:t xml:space="preserve">Khung lý giải lý thuyết bổ sung theo Kafouros et al. (2023,</w:t>
      </w:r>
      <w:r>
        <w:rPr>
          <w:bCs/>
          <w:b/>
        </w:rPr>
        <w:t xml:space="preserve"> </w:t>
      </w:r>
      <w:r>
        <w:rPr>
          <w:iCs/>
          <w:i/>
          <w:bCs/>
          <w:b/>
        </w:rPr>
        <w:t xml:space="preserve">Global Strategy Journal</w:t>
      </w:r>
      <w:r>
        <w:rPr>
          <w:bCs/>
          <w:b/>
        </w:rPr>
        <w:t xml:space="preserve">)</w:t>
      </w:r>
      <w:r>
        <w:t xml:space="preserve">: Phương pháp descriptive được dẫn dắt bởi ba cơ chế (mechanisms) qua đó chất lượng thể chế tác động đến hiệu quả doanh nghiệp ở các nền kinh tế mới nổi: (a)</w:t>
      </w:r>
      <w:r>
        <w:t xml:space="preserve"> </w:t>
      </w:r>
      <w:r>
        <w:rPr>
          <w:bCs/>
          <w:b/>
        </w:rPr>
        <w:t xml:space="preserve">chi phí và mức độ dễ dàng nhận diện và thiết lập đối tác</w:t>
      </w:r>
      <w:r>
        <w:t xml:space="preserve"> </w:t>
      </w:r>
      <w:r>
        <w:t xml:space="preserve">(partnership identification), giải thích vì sao DAI và mức độ tham gia website thay đổi mạnh xuyên các phân nhóm thể chế; (b)</w:t>
      </w:r>
      <w:r>
        <w:t xml:space="preserve"> </w:t>
      </w:r>
      <w:r>
        <w:rPr>
          <w:bCs/>
          <w:b/>
        </w:rPr>
        <w:t xml:space="preserve">hiệu lực của khung pháp lý và sở hữu trí tuệ</w:t>
      </w:r>
      <w:r>
        <w:t xml:space="preserve"> </w:t>
      </w:r>
      <w:r>
        <w:t xml:space="preserve">(legal framework effectiveness), giải thích sự phân tán R&amp;D, ISO và TCI; (c)</w:t>
      </w:r>
      <w:r>
        <w:t xml:space="preserve"> </w:t>
      </w:r>
      <w:r>
        <w:rPr>
          <w:bCs/>
          <w:b/>
        </w:rPr>
        <w:t xml:space="preserve">trao đổi giữa các doanh nghiệp</w:t>
      </w:r>
      <w:r>
        <w:t xml:space="preserve"> </w:t>
      </w:r>
      <w:r>
        <w:t xml:space="preserve">(interfirm market exchange), giải thích phân tán năng suất nội bộ. Khung 3 cơ chế này là cơ sở để CĐ2 thiết lập các mô hình điều tiết (moderation) cho giả thuyết H7 mới: tương tác giữa chất lượng thể chế và động học ngành (industry × institutional dynamism interaction).</w:t>
      </w:r>
    </w:p>
    <w:p>
      <w:pPr>
        <w:pStyle w:val="BodyText"/>
      </w:pPr>
      <w:r>
        <w:rPr>
          <w:bCs/>
          <w:b/>
        </w:rPr>
        <w:t xml:space="preserve">Khung 3 trụ cột bổ sung theo IFC Private Sector Development Blueprint</w:t>
      </w:r>
      <w:r>
        <w:t xml:space="preserve">: Báo cáo IFC (n.d., PSD Blueprint) phân tích WBES theo ba trụ cột bổ trợ cho Aguinis 12-point và Kafouros 3 mechanisms: (i)</w:t>
      </w:r>
      <w:r>
        <w:t xml:space="preserve"> </w:t>
      </w:r>
      <w:r>
        <w:rPr>
          <w:bCs/>
          <w:b/>
        </w:rPr>
        <w:t xml:space="preserve">nền tảng thể chế</w:t>
      </w:r>
      <w:r>
        <w:t xml:space="preserve"> </w:t>
      </w:r>
      <w:r>
        <w:t xml:space="preserve">(institutional foundations: qui định thuế, quyền sở hữu tài sản, giải quyết tranh chấp,</w:t>
      </w:r>
      <w:r>
        <w:t xml:space="preserve"> </w:t>
      </w:r>
      <w:r>
        <w:rPr>
          <w:bCs/>
          <w:b/>
        </w:rPr>
        <w:t xml:space="preserve">6 essential public transactions</w:t>
      </w:r>
      <w:r>
        <w:t xml:space="preserve">: cấp phép hoạt động, cấp phép xây dựng, kết nối điện, kết nối nước, cấp phép khảo sát đất, hoàn thuế VAT); (ii)</w:t>
      </w:r>
      <w:r>
        <w:t xml:space="preserve"> </w:t>
      </w:r>
      <w:r>
        <w:rPr>
          <w:bCs/>
          <w:b/>
        </w:rPr>
        <w:t xml:space="preserve">nguồn lực vận hành</w:t>
      </w:r>
      <w:r>
        <w:t xml:space="preserve"> </w:t>
      </w:r>
      <w:r>
        <w:t xml:space="preserve">(operational resources: lao động, tài chính, năng lượng, internet); (iii)</w:t>
      </w:r>
      <w:r>
        <w:t xml:space="preserve"> </w:t>
      </w:r>
      <w:r>
        <w:rPr>
          <w:bCs/>
          <w:b/>
        </w:rPr>
        <w:t xml:space="preserve">động lực thị trường</w:t>
      </w:r>
      <w:r>
        <w:t xml:space="preserve"> </w:t>
      </w:r>
      <w:r>
        <w:t xml:space="preserve">(market dynamics: cạnh tranh, FDI, xuất nhập khẩu). Đáng chú ý: doanh nghiệp xuất khẩu mất ~1 tuần để hoàn tất thủ tục (xuất) / ~2 tuần (nhập); ~40% doanh nghiệp coi thủ tục thương mại là rào cản lớn nhất (theo IFC analysis). Khung 3 trụ cột này là tham chiếu cho §2.3.3 yếu tố giải thích trong CĐ1 v3.x, bổ sung lăng kính phân tích doanh nghiệp WBES tách 3 chiều cấu trúc.</w:t>
      </w:r>
    </w:p>
    <w:p>
      <w:pPr>
        <w:pStyle w:val="BodyText"/>
      </w:pPr>
      <w:r>
        <w:rPr>
          <w:bCs/>
          <w:b/>
        </w:rPr>
        <w:t xml:space="preserve">Chi tiết phương pháp luận WBES Global</w:t>
      </w:r>
      <w:r>
        <w:t xml:space="preserve">: Áp dụng phương pháp lấy mẫu Global từ năm 2006 với ba nguyên tắc kỹ thuật: (a)</w:t>
      </w:r>
      <w:r>
        <w:t xml:space="preserve"> </w:t>
      </w:r>
      <w:r>
        <w:rPr>
          <w:bCs/>
          <w:b/>
        </w:rPr>
        <w:t xml:space="preserve">Trọng số lấy mẫu</w:t>
      </w:r>
      <w:r>
        <w:t xml:space="preserve"> </w:t>
      </w:r>
      <w:r>
        <w:t xml:space="preserve">(sampling weights): mọi giá trị trung bình và trung vị trong CĐ1 đều được tính có trọng số để phản ánh đúng tổng thể doanh nghiệp thực tế; (b)</w:t>
      </w:r>
      <w:r>
        <w:t xml:space="preserve"> </w:t>
      </w:r>
      <w:r>
        <w:rPr>
          <w:bCs/>
          <w:b/>
        </w:rPr>
        <w:t xml:space="preserve">Xử lý ngoại lai</w:t>
      </w:r>
      <w:r>
        <w:t xml:space="preserve"> </w:t>
      </w:r>
      <w:r>
        <w:t xml:space="preserve">(outliers): các phản hồi cực đoan được xác định bằng phương pháp chuyển đổi logarit và loại bỏ nếu nằm ngoài 3 độ lệch chuẩn so với trung bình, đồng thời winsorize log năng suất ở mức 1/99 phân vị trong cụm quốc gia × năm; (c)</w:t>
      </w:r>
      <w:r>
        <w:t xml:space="preserve"> </w:t>
      </w:r>
      <w:r>
        <w:rPr>
          <w:bCs/>
          <w:b/>
        </w:rPr>
        <w:t xml:space="preserve">Ngưỡng quan sát</w:t>
      </w:r>
      <w:r>
        <w:t xml:space="preserve">: tối thiểu 5 quan sát cho trung bình/trung vị và 30 quan sát cho tốc độ tăng trưởng; nếu không đủ → ghi</w:t>
      </w:r>
      <w:r>
        <w:t xml:space="preserve"> </w:t>
      </w:r>
      <w:r>
        <w:t xml:space="preserve">“</w:t>
      </w:r>
      <w:r>
        <w:t xml:space="preserve">n.a.</w:t>
      </w:r>
      <w:r>
        <w:t xml:space="preserve">”</w:t>
      </w:r>
      <w:r>
        <w:t xml:space="preserve"> </w:t>
      </w:r>
      <w:r>
        <w:t xml:space="preserve">(không áp dụng). Các nguyên tắc này bảo đảm tính so sánh xuyên quốc gia và xuyên thời gian của 47 nền kinh tế trong pool 101.185 doanh nghiệp (cited World Bank, 2025, Hệ thống phân loại quốc gia FY26 + n.d., Tài liệu tóm tắt chỉ số Enterprise Surveys; file 04 v2.5).</w:t>
      </w:r>
    </w:p>
    <w:bookmarkEnd w:id="31"/>
    <w:bookmarkStart w:id="32" w:name="giới-hạn-phạm-vi-và-đối-tượng-nghiên-cứu"/>
    <w:p>
      <w:pPr>
        <w:pStyle w:val="Heading4"/>
      </w:pPr>
      <w:r>
        <w:t xml:space="preserve">2.1.4 Giới hạn (phạm vi và đối tượng nghiên cứu)</w:t>
      </w:r>
    </w:p>
    <w:p>
      <w:pPr>
        <w:pStyle w:val="FirstParagraph"/>
      </w:pPr>
      <w:r>
        <w:rPr>
          <w:bCs/>
          <w:b/>
        </w:rPr>
        <w:t xml:space="preserve">Đối tượng nghiên cứu</w:t>
      </w:r>
      <w:r>
        <w:t xml:space="preserve">: doanh nghiệp đang hoạt động ở các nền kinh tế trong pool đáp ứng tiêu chí mẫu của WBES (chủ yếu là doanh nghiệp khu vực ngoài quốc doanh, có ít nhất 5 lao động, thuộc các ngành phi nông nghiệp).</w:t>
      </w:r>
    </w:p>
    <w:p>
      <w:pPr>
        <w:pStyle w:val="BodyText"/>
      </w:pPr>
      <w:r>
        <w:rPr>
          <w:bCs/>
          <w:b/>
        </w:rPr>
        <w:t xml:space="preserve">Phân loại quy mô doanh nghiệp WBES chính thức</w:t>
      </w:r>
      <w:r>
        <w:t xml:space="preserve">: WBES sử dụng 4 nhóm quy mô tiêu chuẩn theo số lao động toàn thời gian + tạm thời:</w:t>
      </w:r>
      <w:r>
        <w:t xml:space="preserve"> </w:t>
      </w:r>
      <w:r>
        <w:rPr>
          <w:bCs/>
          <w:b/>
        </w:rPr>
        <w:t xml:space="preserve">Nhỏ (5-19 lao động)</w:t>
      </w:r>
      <w:r>
        <w:t xml:space="preserve">,</w:t>
      </w:r>
      <w:r>
        <w:t xml:space="preserve"> </w:t>
      </w:r>
      <w:r>
        <w:rPr>
          <w:bCs/>
          <w:b/>
        </w:rPr>
        <w:t xml:space="preserve">Vừa (20-99)</w:t>
      </w:r>
      <w:r>
        <w:t xml:space="preserve">,</w:t>
      </w:r>
      <w:r>
        <w:t xml:space="preserve"> </w:t>
      </w:r>
      <w:r>
        <w:rPr>
          <w:bCs/>
          <w:b/>
        </w:rPr>
        <w:t xml:space="preserve">Lớn (100+)</w:t>
      </w:r>
      <w:r>
        <w:t xml:space="preserve">,</w:t>
      </w:r>
      <w:r>
        <w:t xml:space="preserve"> </w:t>
      </w:r>
      <w:r>
        <w:rPr>
          <w:bCs/>
          <w:b/>
        </w:rPr>
        <w:t xml:space="preserve">Rất lớn (top 1% nền kinh tế)</w:t>
      </w:r>
      <w:r>
        <w:t xml:space="preserve">. Các kết quả mean/median trong CĐ1 sử dụng phân tầng này khi cần.</w:t>
      </w:r>
      <w:r>
        <w:t xml:space="preserve"> </w:t>
      </w:r>
      <w:r>
        <w:rPr>
          <w:bCs/>
          <w:b/>
        </w:rPr>
        <w:t xml:space="preserve">Bốn ngành loại trừ khỏi vũ trụ khảo sát WBES</w:t>
      </w:r>
      <w:r>
        <w:t xml:space="preserve">: tiện ích công cộng, dịch vụ chính phủ, chăm sóc sức khỏe và dịch vụ tài chính, vì các ngành này có cấu trúc thể chế đặc thù không phù hợp với khung phân tích doanh nghiệp tư nhân chính thức (cited World Bank, n.d., Tài liệu tóm tắt chỉ số Enterprise Surveys; file 04 v2.5).</w:t>
      </w:r>
    </w:p>
    <w:p>
      <w:pPr>
        <w:pStyle w:val="BodyText"/>
      </w:pPr>
      <w:r>
        <w:rPr>
          <w:bCs/>
          <w:b/>
        </w:rPr>
        <w:t xml:space="preserve">Phạm vi không gian</w:t>
      </w:r>
      <w:r>
        <w:t xml:space="preserve">:</w:t>
      </w:r>
    </w:p>
    <w:p>
      <w:pPr>
        <w:pStyle w:val="BodyText"/>
      </w:pPr>
      <w:r>
        <w:rPr>
          <w:bCs/>
          <w:b/>
        </w:rPr>
        <w:t xml:space="preserve">A. Scope chính: 41 nước châu Á thuần</w:t>
      </w:r>
      <w:r>
        <w:t xml:space="preserve"> </w:t>
      </w:r>
      <w:r>
        <w:t xml:space="preserve">(theo tiêu đề luận án</w:t>
      </w:r>
      <w:r>
        <w:t xml:space="preserve"> </w:t>
      </w:r>
      <w:r>
        <w:t xml:space="preserve">“</w:t>
      </w:r>
      <w:r>
        <w:t xml:space="preserve">Châu Á</w:t>
      </w:r>
      <w:r>
        <w:t xml:space="preserve">”</w:t>
      </w:r>
      <w:r>
        <w:t xml:space="preserve"> </w:t>
      </w:r>
      <w:r>
        <w:t xml:space="preserve">trong Quyết định 4769/QĐ-ĐHCT 15/10/2024):</w:t>
      </w:r>
    </w:p>
    <w:p>
      <w:pPr>
        <w:numPr>
          <w:ilvl w:val="0"/>
          <w:numId w:val="1002"/>
        </w:numPr>
        <w:pStyle w:val="Compact"/>
      </w:pPr>
      <w:r>
        <w:rPr>
          <w:bCs/>
          <w:b/>
        </w:rPr>
        <w:t xml:space="preserve">(i) Advanced đổi mới sáng tạo dẫn dắt (innovation-driven, 5 nước)</w:t>
      </w:r>
      <w:r>
        <w:t xml:space="preserve">: Singapore, Hong Kong SAR, Hàn Quốc, Đài Loan, Israel.</w:t>
      </w:r>
    </w:p>
    <w:p>
      <w:pPr>
        <w:numPr>
          <w:ilvl w:val="0"/>
          <w:numId w:val="1002"/>
        </w:numPr>
        <w:pStyle w:val="Compact"/>
      </w:pPr>
      <w:r>
        <w:rPr>
          <w:bCs/>
          <w:b/>
        </w:rPr>
        <w:t xml:space="preserve">(ii) Advanced tài nguyên dẫn dắt (resource-driven, 5 nước)</w:t>
      </w:r>
      <w:r>
        <w:t xml:space="preserve">: Saudi Arabia, Qatar, Kuwait, Bahrain, Brunei.</w:t>
      </w:r>
    </w:p>
    <w:p>
      <w:pPr>
        <w:numPr>
          <w:ilvl w:val="0"/>
          <w:numId w:val="1002"/>
        </w:numPr>
        <w:pStyle w:val="Compact"/>
      </w:pPr>
      <w:r>
        <w:rPr>
          <w:bCs/>
          <w:b/>
        </w:rPr>
        <w:t xml:space="preserve">(iii) Upper-middle (6 nước)</w:t>
      </w:r>
      <w:r>
        <w:t xml:space="preserve">: Trung Quốc, Malaysia, Thái Lan, Kazakhstan, Armenia, Georgia.</w:t>
      </w:r>
    </w:p>
    <w:p>
      <w:pPr>
        <w:numPr>
          <w:ilvl w:val="0"/>
          <w:numId w:val="1002"/>
        </w:numPr>
        <w:pStyle w:val="Compact"/>
      </w:pPr>
      <w:r>
        <w:rPr>
          <w:bCs/>
          <w:b/>
        </w:rPr>
        <w:t xml:space="preserve">(iv) Emerging (7 nước)</w:t>
      </w:r>
      <w:r>
        <w:t xml:space="preserve">: Việt Nam, Indonesia, Philippines, Ấn Độ, Sri Lanka, Jordan, Mongolia.</w:t>
      </w:r>
    </w:p>
    <w:p>
      <w:pPr>
        <w:numPr>
          <w:ilvl w:val="0"/>
          <w:numId w:val="1002"/>
        </w:numPr>
        <w:pStyle w:val="Compact"/>
      </w:pPr>
      <w:r>
        <w:rPr>
          <w:bCs/>
          <w:b/>
        </w:rPr>
        <w:t xml:space="preserve">(v) Frontier (17 nước)</w:t>
      </w:r>
      <w:r>
        <w:t xml:space="preserve">: Bangladesh, Pakistan, Lào, Campuchia, Myanmar, Nepal, Bhutan, Maldives, Uzbekistan, Tajikistan, Kyrgyz Republic, Turkmenistan, Afghanistan, Timor-Leste, Iraq, Lebanon, Yemen.</w:t>
      </w:r>
    </w:p>
    <w:p>
      <w:pPr>
        <w:numPr>
          <w:ilvl w:val="0"/>
          <w:numId w:val="1002"/>
        </w:numPr>
        <w:pStyle w:val="Compact"/>
      </w:pPr>
      <w:r>
        <w:t xml:space="preserve">Cyprus được bao gồm trong nhóm Advanced (cụm Mediterranean, biên giới Đông – Tây Á về địa lý).</w:t>
      </w:r>
    </w:p>
    <w:p>
      <w:pPr>
        <w:pStyle w:val="BlockText"/>
      </w:pPr>
      <w:r>
        <w:rPr>
          <w:bCs/>
          <w:b/>
        </w:rPr>
        <w:t xml:space="preserve">Lưu ý phân biệt phạm vi ICRV vs WB geographic scope</w:t>
      </w:r>
      <w:r>
        <w:t xml:space="preserve">: Khung ICRV trong chuyên đề này bao gồm</w:t>
      </w:r>
      <w:r>
        <w:t xml:space="preserve"> </w:t>
      </w:r>
      <w:r>
        <w:rPr>
          <w:bCs/>
          <w:b/>
        </w:rPr>
        <w:t xml:space="preserve">47 nền kinh tế</w:t>
      </w:r>
      <w:r>
        <w:t xml:space="preserve"> </w:t>
      </w:r>
      <w:r>
        <w:t xml:space="preserve">với 5 phân nhóm châu Á thuần (gồm Kazakhstan/Armenia/Georgia trong Upper-middle; Kyrgyzstan/Tajikistan/Uzbekistan/Turkmenistan trong Frontier) vì các nền kinh tế này có dữ liệu WBES đầy đủ, mức độ dị biệt thể chế có giá trị phân tích và được xếp vào</w:t>
      </w:r>
      <w:r>
        <w:t xml:space="preserve"> </w:t>
      </w:r>
      <w:r>
        <w:t xml:space="preserve">“</w:t>
      </w:r>
      <w:r>
        <w:t xml:space="preserve">Emerging/Central Asia</w:t>
      </w:r>
      <w:r>
        <w:t xml:space="preserve">”</w:t>
      </w:r>
      <w:r>
        <w:t xml:space="preserve"> </w:t>
      </w:r>
      <w:r>
        <w:t xml:space="preserve">theo khung phân loại ADB + nhiều nghiên cứu IB. Tài liệu tham chiếu</w:t>
      </w:r>
      <w:r>
        <w:t xml:space="preserve"> </w:t>
      </w:r>
      <w:r>
        <w:rPr>
          <w:rStyle w:val="VerbatimChar"/>
        </w:rPr>
        <w:t xml:space="preserve">manuscripts/wb_country_classification_2025_2026.md</w:t>
      </w:r>
      <w:r>
        <w:t xml:space="preserve"> </w:t>
      </w:r>
      <w:r>
        <w:t xml:space="preserve">sử dụng phạm vi hẹp hơn: WB geographic regions EAP + SAS + MENAAP (không bao gồm ECA), phục vụ mục đích tra cứu phân loại thu nhập FY2026 WB Atlas Method. Hai tài liệu phục vụ mục đích khác nhau. Để tra cứu chi tiết tình trạng WBES data availability cho từng nền kinh tế châu Á (Included vs. Excluded trong PhD + lý do), xem</w:t>
      </w:r>
      <w:r>
        <w:t xml:space="preserve"> </w:t>
      </w:r>
      <w:r>
        <w:rPr>
          <w:rStyle w:val="VerbatimChar"/>
        </w:rPr>
        <w:t xml:space="preserve">manuscripts/wbes_asia_country_scope.md</w:t>
      </w:r>
      <w:r>
        <w:t xml:space="preserve">.</w:t>
      </w:r>
    </w:p>
    <w:p>
      <w:pPr>
        <w:pStyle w:val="FirstParagraph"/>
      </w:pPr>
      <w:r>
        <w:rPr>
          <w:bCs/>
          <w:b/>
        </w:rPr>
        <w:t xml:space="preserve">B. Boundary case extension: 7 SIDS Thái Bình Dương</w:t>
      </w:r>
      <w:r>
        <w:t xml:space="preserve"> </w:t>
      </w:r>
      <w:r>
        <w:t xml:space="preserve">(theo khung</w:t>
      </w:r>
      <w:r>
        <w:t xml:space="preserve"> </w:t>
      </w:r>
      <w:r>
        <w:t xml:space="preserve">“</w:t>
      </w:r>
      <w:r>
        <w:t xml:space="preserve">Asia and Pacific</w:t>
      </w:r>
      <w:r>
        <w:t xml:space="preserve">”</w:t>
      </w:r>
      <w:r>
        <w:t xml:space="preserve"> </w:t>
      </w:r>
      <w:r>
        <w:t xml:space="preserve">của ADB Regional Classification và World Bank East Asia and Pacific Region):</w:t>
      </w:r>
    </w:p>
    <w:p>
      <w:pPr>
        <w:numPr>
          <w:ilvl w:val="0"/>
          <w:numId w:val="1003"/>
        </w:numPr>
        <w:pStyle w:val="Compact"/>
      </w:pPr>
      <w:r>
        <w:rPr>
          <w:bCs/>
          <w:b/>
        </w:rPr>
        <w:t xml:space="preserve">(vi) SIDS Thái Bình Dương (7 nước, n=1.371, 1,4% pool)</w:t>
      </w:r>
      <w:r>
        <w:t xml:space="preserve">: Fiji, Papua New Guinea, Solomon Islands, Tonga (gồm cả đợt 2024), Vanuatu, Samoa,</w:t>
      </w:r>
      <w:r>
        <w:t xml:space="preserve"> </w:t>
      </w:r>
      <w:r>
        <w:rPr>
          <w:bCs/>
          <w:b/>
        </w:rPr>
        <w:t xml:space="preserve">Kiribati (mới 2025)</w:t>
      </w:r>
      <w:r>
        <w:t xml:space="preserve">.</w:t>
      </w:r>
    </w:p>
    <w:p>
      <w:pPr>
        <w:pStyle w:val="FirstParagraph"/>
      </w:pPr>
      <w:r>
        <w:rPr>
          <w:bCs/>
          <w:b/>
        </w:rPr>
        <w:t xml:space="preserve">Lý do bao gồm SIDS Pacific như boundary case extension</w:t>
      </w:r>
      <w:r>
        <w:t xml:space="preserve"> </w:t>
      </w:r>
      <w:r>
        <w:t xml:space="preserve">(theo nguyên tắc</w:t>
      </w:r>
      <w:r>
        <w:t xml:space="preserve"> </w:t>
      </w:r>
      <w:r>
        <w:rPr>
          <w:iCs/>
          <w:i/>
        </w:rPr>
        <w:t xml:space="preserve">boundary condition explicit</w:t>
      </w:r>
      <w:r>
        <w:t xml:space="preserve"> </w:t>
      </w:r>
      <w:r>
        <w:t xml:space="preserve">của Bello &amp; Kostova, 2012, và</w:t>
      </w:r>
      <w:r>
        <w:t xml:space="preserve"> </w:t>
      </w:r>
      <w:r>
        <w:rPr>
          <w:iCs/>
          <w:i/>
        </w:rPr>
        <w:t xml:space="preserve">phenomenon-based scope</w:t>
      </w:r>
      <w:r>
        <w:t xml:space="preserve"> </w:t>
      </w:r>
      <w:r>
        <w:t xml:space="preserve">của Meyer et al., 2017):</w:t>
      </w:r>
    </w:p>
    <w:p>
      <w:pPr>
        <w:numPr>
          <w:ilvl w:val="0"/>
          <w:numId w:val="1004"/>
        </w:numPr>
      </w:pPr>
      <w:r>
        <w:rPr>
          <w:bCs/>
          <w:b/>
        </w:rPr>
        <w:t xml:space="preserve">Khung</w:t>
      </w:r>
      <w:r>
        <w:rPr>
          <w:bCs/>
          <w:b/>
        </w:rPr>
        <w:t xml:space="preserve"> </w:t>
      </w:r>
      <w:r>
        <w:rPr>
          <w:bCs/>
          <w:b/>
        </w:rPr>
        <w:t xml:space="preserve">“</w:t>
      </w:r>
      <w:r>
        <w:rPr>
          <w:bCs/>
          <w:b/>
        </w:rPr>
        <w:t xml:space="preserve">Asia and Pacific</w:t>
      </w:r>
      <w:r>
        <w:rPr>
          <w:bCs/>
          <w:b/>
        </w:rPr>
        <w:t xml:space="preserve">”</w:t>
      </w:r>
      <w:r>
        <w:rPr>
          <w:bCs/>
          <w:b/>
        </w:rPr>
        <w:t xml:space="preserve"> </w:t>
      </w:r>
      <w:r>
        <w:rPr>
          <w:bCs/>
          <w:b/>
        </w:rPr>
        <w:t xml:space="preserve">thống nhất</w:t>
      </w:r>
      <w:r>
        <w:t xml:space="preserve"> </w:t>
      </w:r>
      <w:r>
        <w:t xml:space="preserve">của ADB Regional Classification (ADB, 2024) và World Bank EAP Region được áp dụng xuyên suốt các báo cáo thực tiễn, đảm bảo so sánh nhất quán với các nghiên cứu IB hiện hành;</w:t>
      </w:r>
    </w:p>
    <w:p>
      <w:pPr>
        <w:numPr>
          <w:ilvl w:val="0"/>
          <w:numId w:val="1004"/>
        </w:numPr>
      </w:pPr>
      <w:r>
        <w:rPr>
          <w:bCs/>
          <w:b/>
        </w:rPr>
        <w:t xml:space="preserve">WBES coverage</w:t>
      </w:r>
      <w:r>
        <w:t xml:space="preserve"> </w:t>
      </w:r>
      <w:r>
        <w:t xml:space="preserve">cho SIDS Pacific là phần dữ liệu Asia mà không có nguồn alternative chuẩn hóa khác, bảo đảm tính khả dụng dữ liệu so sánh xuyên quốc gia;</w:t>
      </w:r>
    </w:p>
    <w:p>
      <w:pPr>
        <w:numPr>
          <w:ilvl w:val="0"/>
          <w:numId w:val="1004"/>
        </w:numPr>
      </w:pPr>
      <w:r>
        <w:rPr>
          <w:bCs/>
          <w:b/>
        </w:rPr>
        <w:t xml:space="preserve">Giá trị khoa học (scientific value)</w:t>
      </w:r>
      <w:r>
        <w:t xml:space="preserve">: SIDS Pacific là</w:t>
      </w:r>
      <w:r>
        <w:t xml:space="preserve"> </w:t>
      </w:r>
      <w:r>
        <w:rPr>
          <w:bCs/>
          <w:b/>
        </w:rPr>
        <w:t xml:space="preserve">trường hợp biên cực trị (extreme boundary case)</w:t>
      </w:r>
      <w:r>
        <w:t xml:space="preserve"> </w:t>
      </w:r>
      <w:r>
        <w:t xml:space="preserve">giúp minh họa và kiểm chứng patterns châu Á qua tương phản, đặc biệt H6 (forced internationalization penalty) trong Chuyên đề 2. Kiribati 2025 với FSTS 1,03%, FDI 0,7%, website 18,7% là extreme nhất pool (xem §2.3.2.7);</w:t>
      </w:r>
    </w:p>
    <w:p>
      <w:pPr>
        <w:numPr>
          <w:ilvl w:val="0"/>
          <w:numId w:val="1004"/>
        </w:numPr>
      </w:pPr>
      <w:r>
        <w:rPr>
          <w:bCs/>
          <w:b/>
        </w:rPr>
        <w:t xml:space="preserve">Lý thuyết phenomenon-based</w:t>
      </w:r>
      <w:r>
        <w:t xml:space="preserve"> </w:t>
      </w:r>
      <w:r>
        <w:t xml:space="preserve">(Meyer et al., 2017): hiện tượng</w:t>
      </w:r>
      <w:r>
        <w:t xml:space="preserve"> </w:t>
      </w:r>
      <w:r>
        <w:t xml:space="preserve">“</w:t>
      </w:r>
      <w:r>
        <w:t xml:space="preserve">isolated SIDS</w:t>
      </w:r>
      <w:r>
        <w:t xml:space="preserve">”</w:t>
      </w:r>
      <w:r>
        <w:t xml:space="preserve"> </w:t>
      </w:r>
      <w:r>
        <w:t xml:space="preserve">(Kiribati extreme) làm sáng tỏ điều kiện biên của lý thuyết Uppsala (Johanson &amp; Vahlne, 1977) và liability of foreignness (Zaheer, 1995) ở scale cực nhỏ.</w:t>
      </w:r>
    </w:p>
    <w:p>
      <w:pPr>
        <w:pStyle w:val="FirstParagraph"/>
      </w:pPr>
      <w:r>
        <w:rPr>
          <w:bCs/>
          <w:b/>
        </w:rPr>
        <w:t xml:space="preserve">Quan hệ SIDS Pacific với scope chính</w:t>
      </w:r>
      <w:r>
        <w:t xml:space="preserve">: SIDS Pacific (1,4% pool)</w:t>
      </w:r>
      <w:r>
        <w:t xml:space="preserve"> </w:t>
      </w:r>
      <w:r>
        <w:rPr>
          <w:bCs/>
          <w:b/>
        </w:rPr>
        <w:t xml:space="preserve">không phải scope chính</w:t>
      </w:r>
      <w:r>
        <w:t xml:space="preserve"> </w:t>
      </w:r>
      <w:r>
        <w:t xml:space="preserve">của tiêu đề luận án; được đưa vào với 3 vai trò minh họa:</w:t>
      </w:r>
      <w:r>
        <w:t xml:space="preserve"> </w:t>
      </w:r>
      <w:r>
        <w:t xml:space="preserve">- (i)</w:t>
      </w:r>
      <w:r>
        <w:t xml:space="preserve"> </w:t>
      </w:r>
      <w:r>
        <w:rPr>
          <w:bCs/>
          <w:b/>
        </w:rPr>
        <w:t xml:space="preserve">Trường hợp biên cực trị (extreme boundary case)</w:t>
      </w:r>
      <w:r>
        <w:t xml:space="preserve"> </w:t>
      </w:r>
      <w:r>
        <w:t xml:space="preserve">cho ICRV regime classification (§3.2);</w:t>
      </w:r>
      <w:r>
        <w:t xml:space="preserve"> </w:t>
      </w:r>
      <w:r>
        <w:t xml:space="preserve">- (ii)</w:t>
      </w:r>
      <w:r>
        <w:t xml:space="preserve"> </w:t>
      </w:r>
      <w:r>
        <w:rPr>
          <w:bCs/>
          <w:b/>
        </w:rPr>
        <w:t xml:space="preserve">Đối chứng (counterfactual)</w:t>
      </w:r>
      <w:r>
        <w:t xml:space="preserve"> </w:t>
      </w:r>
      <w:r>
        <w:t xml:space="preserve">cho pattern châu Á, đặc biệt §2.3.2.7 SIDS Thái Bình Dương và §2.4.3.1 (3) digital theatre;</w:t>
      </w:r>
      <w:r>
        <w:t xml:space="preserve"> </w:t>
      </w:r>
      <w:r>
        <w:t xml:space="preserve">- (iii)</w:t>
      </w:r>
      <w:r>
        <w:t xml:space="preserve"> </w:t>
      </w:r>
      <w:r>
        <w:rPr>
          <w:bCs/>
          <w:b/>
        </w:rPr>
        <w:t xml:space="preserve">Bằng chứng cho H6</w:t>
      </w:r>
      <w:r>
        <w:t xml:space="preserve"> </w:t>
      </w:r>
      <w:r>
        <w:t xml:space="preserve">(forced internationalization penalty) trong Chuyên đề 2.</w:t>
      </w:r>
    </w:p>
    <w:p>
      <w:pPr>
        <w:pStyle w:val="BodyText"/>
      </w:pPr>
      <w:r>
        <w:rPr>
          <w:bCs/>
          <w:b/>
        </w:rPr>
        <w:t xml:space="preserve">Chi tiết phân tích firm-level cho SIDS Pacific</w:t>
      </w:r>
      <w:r>
        <w:t xml:space="preserve"> </w:t>
      </w:r>
      <w:r>
        <w:t xml:space="preserve">(gồm Kiribati extreme; Pacific MIRAB model, Bertram, 2006; vulnerability, Briguglio, 1995) được trình bày trong</w:t>
      </w:r>
      <w:r>
        <w:t xml:space="preserve"> </w:t>
      </w:r>
      <w:r>
        <w:rPr>
          <w:bCs/>
          <w:b/>
        </w:rPr>
        <w:t xml:space="preserve">phần phân tích các quốc đảo nhỏ Thái Bình Dương (SIDS) của luận án</w:t>
      </w:r>
      <w:r>
        <w:t xml:space="preserve"> </w:t>
      </w:r>
      <w:r>
        <w:t xml:space="preserve">để bảo đảm</w:t>
      </w:r>
      <w:r>
        <w:t xml:space="preserve"> </w:t>
      </w:r>
      <w:r>
        <w:rPr>
          <w:bCs/>
          <w:b/>
        </w:rPr>
        <w:t xml:space="preserve">scope coherence</w:t>
      </w:r>
      <w:r>
        <w:t xml:space="preserve"> </w:t>
      </w:r>
      <w:r>
        <w:t xml:space="preserve">cho luận án thuần</w:t>
      </w:r>
      <w:r>
        <w:t xml:space="preserve"> </w:t>
      </w:r>
      <w:r>
        <w:t xml:space="preserve">“</w:t>
      </w:r>
      <w:r>
        <w:t xml:space="preserve">Châu Á</w:t>
      </w:r>
      <w:r>
        <w:t xml:space="preserve">”</w:t>
      </w:r>
      <w:r>
        <w:t xml:space="preserve"> </w:t>
      </w:r>
      <w:r>
        <w:t xml:space="preserve">theo tiêu đề chính thức.</w:t>
      </w:r>
    </w:p>
    <w:p>
      <w:pPr>
        <w:pStyle w:val="BodyText"/>
      </w:pPr>
      <w:r>
        <w:rPr>
          <w:bCs/>
          <w:b/>
        </w:rPr>
        <w:t xml:space="preserve">Phạm vi thời gian</w:t>
      </w:r>
      <w:r>
        <w:t xml:space="preserve">:</w:t>
      </w:r>
      <w:r>
        <w:t xml:space="preserve"> </w:t>
      </w:r>
      <w:r>
        <w:rPr>
          <w:bCs/>
          <w:b/>
        </w:rPr>
        <w:t xml:space="preserve">2009–2025</w:t>
      </w:r>
      <w:r>
        <w:t xml:space="preserve"> </w:t>
      </w:r>
      <w:r>
        <w:t xml:space="preserve">(16 năm × 14 mốc khảo sát: 2009–2016, 2018–2025). Bao trùm ba thế hệ khung dữ liệu WBES: PICS3 (2009–2012, n=14.335), Standardized (2013–2017, n=25.046), Standardized 2018+ với BREADY/BEE/EAP Core (2018–2025, n=61.804).</w:t>
      </w:r>
    </w:p>
    <w:p>
      <w:pPr>
        <w:pStyle w:val="BodyText"/>
      </w:pPr>
      <w:r>
        <w:rPr>
          <w:bCs/>
          <w:b/>
        </w:rPr>
        <w:t xml:space="preserve">Phạm vi nội dung</w:t>
      </w:r>
      <w:r>
        <w:t xml:space="preserve">: hiệu quả hoạt động kinh doanh đa chiều, gồm năng suất lao động, lợi nhuận, tăng trưởng, đổi mới sáng tạo, cấu trúc doanh nghiệp.</w:t>
      </w:r>
    </w:p>
    <w:bookmarkEnd w:id="32"/>
    <w:bookmarkStart w:id="33" w:name="ý-nghĩa-và-đóng-góp-dự-kiến"/>
    <w:p>
      <w:pPr>
        <w:pStyle w:val="Heading4"/>
      </w:pPr>
      <w:r>
        <w:t xml:space="preserve">2.1.5 Ý nghĩa và đóng góp dự kiến</w:t>
      </w:r>
    </w:p>
    <w:p>
      <w:pPr>
        <w:pStyle w:val="FirstParagraph"/>
      </w:pPr>
      <w:r>
        <w:rPr>
          <w:bCs/>
          <w:b/>
        </w:rPr>
        <w:t xml:space="preserve">Bốn đóng góp scope chính cho 41 nước châu Á</w:t>
      </w:r>
      <w:r>
        <w:t xml:space="preserve">:</w:t>
      </w:r>
    </w:p>
    <w:p>
      <w:pPr>
        <w:numPr>
          <w:ilvl w:val="0"/>
          <w:numId w:val="1005"/>
        </w:numPr>
      </w:pPr>
      <w:r>
        <w:rPr>
          <w:bCs/>
          <w:b/>
        </w:rPr>
        <w:t xml:space="preserve">Pattern điển hình (stylized facts)</w:t>
      </w:r>
      <w:r>
        <w:t xml:space="preserve"> </w:t>
      </w:r>
      <w:r>
        <w:t xml:space="preserve">đa chiều cho hiệu quả doanh nghiệp châu Á 2009–2025, phạm vi rộng nhất trong các nghiên cứu IB hiện hành (Wu et al., 2022 dừng ở 2020; Arte &amp; Larimo, 2022 dừng ở 2019). Việc bao gồm</w:t>
      </w:r>
      <w:r>
        <w:t xml:space="preserve"> </w:t>
      </w:r>
      <w:r>
        <w:rPr>
          <w:bCs/>
          <w:b/>
        </w:rPr>
        <w:t xml:space="preserve">dữ liệu năm 2025</w:t>
      </w:r>
      <w:r>
        <w:t xml:space="preserve"> </w:t>
      </w:r>
      <w:r>
        <w:t xml:space="preserve">cho 13 nước châu Á (Ấn Độ, Saudi Arabia, Thái Lan, Sri Lanka, Mongolia, Qatar, Afghanistan, Maldives, Brunei, Kuwait, Nepal, Solomon Islands</w:t>
      </w:r>
      <w:r>
        <w:rPr>
          <w:iCs/>
          <w:i/>
        </w:rPr>
        <w:t xml:space="preserve">, Fiji</w:t>
      </w:r>
      <w:r>
        <w:t xml:space="preserve">) đặt chuyên đề ở vị trí cập nhật nhất.</w:t>
      </w:r>
    </w:p>
    <w:p>
      <w:pPr>
        <w:numPr>
          <w:ilvl w:val="0"/>
          <w:numId w:val="1005"/>
        </w:numPr>
      </w:pPr>
      <w:r>
        <w:rPr>
          <w:bCs/>
          <w:b/>
        </w:rPr>
        <w:t xml:space="preserve">Phân nhóm con Advanced</w:t>
      </w:r>
      <w:r>
        <w:t xml:space="preserve"> </w:t>
      </w:r>
      <w:r>
        <w:t xml:space="preserve">(innovation-driven so với resource-driven), phát hiện lý thuyết mới chưa có trong các nghiên cứu hiện hành (kể cả Đỗ &amp; Phan, 2026, VEFR vốn chỉ tập trung emerging Asia). Tỷ số phân tán Singapore (1,03) so với Vùng Vịnh (0,49) ≈</w:t>
      </w:r>
      <w:r>
        <w:t xml:space="preserve"> </w:t>
      </w:r>
      <w:r>
        <w:rPr>
          <w:bCs/>
          <w:b/>
        </w:rPr>
        <w:t xml:space="preserve">2,1 lần</w:t>
      </w:r>
      <w:r>
        <w:t xml:space="preserve"> </w:t>
      </w:r>
      <w:r>
        <w:t xml:space="preserve">(xem §2.3.2.2 + Hình 4.1).</w:t>
      </w:r>
    </w:p>
    <w:p>
      <w:pPr>
        <w:numPr>
          <w:ilvl w:val="0"/>
          <w:numId w:val="1005"/>
        </w:numPr>
      </w:pPr>
      <w:r>
        <w:rPr>
          <w:bCs/>
          <w:b/>
        </w:rPr>
        <w:t xml:space="preserve">Nhảy vọt số (digital leapfrog)</w:t>
      </w:r>
      <w:r>
        <w:t xml:space="preserve"> </w:t>
      </w:r>
      <w:r>
        <w:t xml:space="preserve">ở Frontier và Emerging châu Á 2018–2025, mở rộng pattern hiệu ứng thay thế số cho thể chế (digital shield effect) từ 17 nước (Đỗ &amp; Phan, 2026, VEFR) lên 47 nước (xem §2.3.1.4 và §2.3.1.6). Phân tách hai tầng (Tier) đo lường:</w:t>
      </w:r>
      <w:r>
        <w:t xml:space="preserve"> </w:t>
      </w:r>
      <w:r>
        <w:rPr>
          <w:bCs/>
          <w:b/>
        </w:rPr>
        <w:t xml:space="preserve">Tier-1 Digital Presence</w:t>
      </w:r>
      <w:r>
        <w:t xml:space="preserve"> </w:t>
      </w:r>
      <w:r>
        <w:t xml:space="preserve">(website</w:t>
      </w:r>
      <w:r>
        <w:t xml:space="preserve"> </w:t>
      </w:r>
      <w:r>
        <w:rPr>
          <w:bCs/>
          <w:b/>
        </w:rPr>
        <w:t xml:space="preserve">nhị phân (binary)</w:t>
      </w:r>
      <w:r>
        <w:t xml:space="preserve"> </w:t>
      </w:r>
      <w:r>
        <w:t xml:space="preserve">có/không, đo trong Spec 1 2009–2025, đã</w:t>
      </w:r>
      <w:r>
        <w:t xml:space="preserve"> </w:t>
      </w:r>
      <w:r>
        <w:rPr>
          <w:bCs/>
          <w:b/>
        </w:rPr>
        <w:t xml:space="preserve">bão hòa (saturation)</w:t>
      </w:r>
      <w:r>
        <w:t xml:space="preserve"> </w:t>
      </w:r>
      <w:r>
        <w:t xml:space="preserve">ở Advanced từ trước 2018) vs</w:t>
      </w:r>
      <w:r>
        <w:t xml:space="preserve"> </w:t>
      </w:r>
      <w:r>
        <w:rPr>
          <w:bCs/>
          <w:b/>
        </w:rPr>
        <w:t xml:space="preserve">Tier-2 Digital Transformation</w:t>
      </w:r>
      <w:r>
        <w:t xml:space="preserve"> </w:t>
      </w:r>
      <w:r>
        <w:t xml:space="preserve">(DAI đa thành phần, multi-component, 5 thành phần: website + email + thanh toán di động (smartphone POS) + thương mại điện tử (e-commerce) + điện toán đám mây (cloud), đo trong Spec 2 2018–2025), minh bạch hóa rằng hệ số âm DAI ở Advanced trong Spec 1 (-0,129) là</w:t>
      </w:r>
      <w:r>
        <w:t xml:space="preserve"> </w:t>
      </w:r>
      <w:r>
        <w:rPr>
          <w:bCs/>
          <w:b/>
        </w:rPr>
        <w:t xml:space="preserve">biểu hiện giả tạo do bão hòa Tier-1 (artifact của Tier-1 saturation)</w:t>
      </w:r>
      <w:r>
        <w:t xml:space="preserve">, không phải</w:t>
      </w:r>
      <w:r>
        <w:t xml:space="preserve"> </w:t>
      </w:r>
      <w:r>
        <w:t xml:space="preserve">“</w:t>
      </w:r>
      <w:r>
        <w:t xml:space="preserve">số hóa làm giảm năng suất ở Singapore/Hàn Quốc</w:t>
      </w:r>
      <w:r>
        <w:t xml:space="preserve">”</w:t>
      </w:r>
      <w:r>
        <w:t xml:space="preserve">. Kiểm định loại trừ ICT (ICT exclusion test) ở §2.3.1.4.5 mục §2.3.1 chuyên đề xác nhận đây là biểu hiện giả tạo: khi loại bỏ doanh nghiệp ICT khỏi Advanced phân nhóm đổi mới sáng tạo dẫn dắt, hệ số âm biến mất → biến website không còn</w:t>
      </w:r>
      <w:r>
        <w:t xml:space="preserve"> </w:t>
      </w:r>
      <w:r>
        <w:rPr>
          <w:bCs/>
          <w:b/>
        </w:rPr>
        <w:t xml:space="preserve">phân biệt (discriminate)</w:t>
      </w:r>
      <w:r>
        <w:t xml:space="preserve"> </w:t>
      </w:r>
      <w:r>
        <w:t xml:space="preserve">năng suất giữa các doanh nghiệp ở Advanced vì hầu hết đã có website từ lâu.</w:t>
      </w:r>
    </w:p>
    <w:p>
      <w:pPr>
        <w:numPr>
          <w:ilvl w:val="0"/>
          <w:numId w:val="1005"/>
        </w:numPr>
      </w:pPr>
      <w:r>
        <w:rPr>
          <w:bCs/>
          <w:b/>
        </w:rPr>
        <w:t xml:space="preserve">Bằng chứng cho khung lý thuyết phi tuyến + điều tiết đa tầng</w:t>
      </w:r>
      <w:r>
        <w:t xml:space="preserve">: bốn lần đảo dấu xuyên phân nhóm con thể chế (xem §2.3.3 và Hình 6.1) là cơ sở thực tiễn cho</w:t>
      </w:r>
      <w:r>
        <w:t xml:space="preserve"> </w:t>
      </w:r>
      <w:r>
        <w:rPr>
          <w:bCs/>
          <w:b/>
        </w:rPr>
        <w:t xml:space="preserve">6 giả thuyết H1-H6</w:t>
      </w:r>
      <w:r>
        <w:t xml:space="preserve"> </w:t>
      </w:r>
      <w:r>
        <w:t xml:space="preserve">của Chuyên đề 2. Bốn lần đảo dấu này được lý giải sâu hơn qua hai hướng lý thuyết bổ sung.</w:t>
      </w:r>
      <w:r>
        <w:t xml:space="preserve"> </w:t>
      </w:r>
      <w:r>
        <w:rPr>
          <w:bCs/>
          <w:b/>
        </w:rPr>
        <w:t xml:space="preserve">Thứ nhất</w:t>
      </w:r>
      <w:r>
        <w:t xml:space="preserve">,</w:t>
      </w:r>
      <w:r>
        <w:t xml:space="preserve"> </w:t>
      </w:r>
      <w:r>
        <w:rPr>
          <w:bCs/>
          <w:b/>
        </w:rPr>
        <w:t xml:space="preserve">Xu (2024,</w:t>
      </w:r>
      <w:r>
        <w:rPr>
          <w:bCs/>
          <w:b/>
        </w:rPr>
        <w:t xml:space="preserve"> </w:t>
      </w:r>
      <w:r>
        <w:rPr>
          <w:iCs/>
          <w:i/>
          <w:bCs/>
          <w:b/>
        </w:rPr>
        <w:t xml:space="preserve">Global Strategy Journal</w:t>
      </w:r>
      <w:r>
        <w:rPr>
          <w:bCs/>
          <w:b/>
        </w:rPr>
        <w:t xml:space="preserve">)</w:t>
      </w:r>
      <w:r>
        <w:t xml:space="preserve"> </w:t>
      </w:r>
      <w:r>
        <w:t xml:space="preserve">phân tách</w:t>
      </w:r>
      <w:r>
        <w:t xml:space="preserve"> </w:t>
      </w:r>
      <w:r>
        <w:t xml:space="preserve">“</w:t>
      </w:r>
      <w:r>
        <w:t xml:space="preserve">exposure de jure</w:t>
      </w:r>
      <w:r>
        <w:t xml:space="preserve">”</w:t>
      </w:r>
      <w:r>
        <w:t xml:space="preserve"> </w:t>
      </w:r>
      <w:r>
        <w:t xml:space="preserve">(luật trên giấy) vs</w:t>
      </w:r>
      <w:r>
        <w:t xml:space="preserve"> </w:t>
      </w:r>
      <w:r>
        <w:t xml:space="preserve">“</w:t>
      </w:r>
      <w:r>
        <w:t xml:space="preserve">enforcement de facto</w:t>
      </w:r>
      <w:r>
        <w:t xml:space="preserve">”</w:t>
      </w:r>
      <w:r>
        <w:t xml:space="preserve"> </w:t>
      </w:r>
      <w:r>
        <w:t xml:space="preserve">(thực thi thực tế), gợi ý rằng các điểm chuyển dấu cross-regime không thể chỉ giải thích bằng điểm số WGI hay khoảng cách thể chế tổng hợp; cần phân biệt formal rules và implementation capacity, đặc biệt cho Việt Nam, Trung Quốc, Indonesia, Mongolia có gap de jure–de facto lớn (xem §2.3.3 và §2.4.3.3).</w:t>
      </w:r>
      <w:r>
        <w:t xml:space="preserve"> </w:t>
      </w:r>
      <w:r>
        <w:rPr>
          <w:bCs/>
          <w:b/>
        </w:rPr>
        <w:t xml:space="preserve">Thứ hai</w:t>
      </w:r>
      <w:r>
        <w:t xml:space="preserve">,</w:t>
      </w:r>
      <w:r>
        <w:t xml:space="preserve"> </w:t>
      </w:r>
      <w:r>
        <w:rPr>
          <w:bCs/>
          <w:b/>
        </w:rPr>
        <w:t xml:space="preserve">Kafouros et al. (2023,</w:t>
      </w:r>
      <w:r>
        <w:rPr>
          <w:bCs/>
          <w:b/>
        </w:rPr>
        <w:t xml:space="preserve"> </w:t>
      </w:r>
      <w:r>
        <w:rPr>
          <w:iCs/>
          <w:i/>
          <w:bCs/>
          <w:b/>
        </w:rPr>
        <w:t xml:space="preserve">Global Strategy Journal</w:t>
      </w:r>
      <w:r>
        <w:rPr>
          <w:bCs/>
          <w:b/>
        </w:rPr>
        <w:t xml:space="preserve">)</w:t>
      </w:r>
      <w:r>
        <w:t xml:space="preserve"> </w:t>
      </w:r>
      <w:r>
        <w:t xml:space="preserve">đề xuất chất lượng thể chế tương tác hai chiều với động học ngành, khuếch đại tích cực ở ngành công nghệ-động (technological dynamism) và suy yếu ở ngành thị trường-động (market dynamism). Hai hướng này mở đường cho</w:t>
      </w:r>
      <w:r>
        <w:t xml:space="preserve"> </w:t>
      </w:r>
      <w:r>
        <w:rPr>
          <w:bCs/>
          <w:b/>
        </w:rPr>
        <w:t xml:space="preserve">giả thuyết H7 mới của CĐ2</w:t>
      </w:r>
      <w:r>
        <w:t xml:space="preserve"> </w:t>
      </w:r>
      <w:r>
        <w:t xml:space="preserve">(</w:t>
      </w:r>
      <w:r>
        <w:rPr>
          <w:iCs/>
          <w:i/>
        </w:rPr>
        <w:t xml:space="preserve">industry × institutional dynamism interaction effect</w:t>
      </w:r>
      <w:r>
        <w:t xml:space="preserve">) và cho biểu đồ Bảng 4.8.1 dynamism profile theo Kafouros (xem §2.3.1.8 mục §2.3.1 chuyên đề).</w:t>
      </w:r>
    </w:p>
    <w:p>
      <w:pPr>
        <w:pStyle w:val="FirstParagraph"/>
      </w:pPr>
      <w:r>
        <w:rPr>
          <w:bCs/>
          <w:b/>
        </w:rPr>
        <w:t xml:space="preserve">Một đóng góp boundary case mở rộng (SIDS Pacific)</w:t>
      </w:r>
      <w:r>
        <w:t xml:space="preserve">:</w:t>
      </w:r>
    </w:p>
    <w:p>
      <w:pPr>
        <w:numPr>
          <w:ilvl w:val="0"/>
          <w:numId w:val="1006"/>
        </w:numPr>
        <w:pStyle w:val="Compact"/>
      </w:pPr>
      <w:r>
        <w:rPr>
          <w:bCs/>
          <w:b/>
        </w:rPr>
        <w:t xml:space="preserve">Trường hợp biên (boundary case) chi phí buộc phải quốc tế hóa (forced internationalization penalty)</w:t>
      </w:r>
      <w:r>
        <w:t xml:space="preserve"> </w:t>
      </w:r>
      <w:r>
        <w:t xml:space="preserve">ở</w:t>
      </w:r>
      <w:r>
        <w:t xml:space="preserve"> </w:t>
      </w:r>
      <w:r>
        <w:rPr>
          <w:bCs/>
          <w:b/>
        </w:rPr>
        <w:t xml:space="preserve">7 SIDS Thái Bình Dương</w:t>
      </w:r>
      <w:r>
        <w:t xml:space="preserve"> </w:t>
      </w:r>
      <w:r>
        <w:t xml:space="preserve">(Briguglio, 1995; Bertram, 2006), bằng chứng firm-level đầu tiên trong các nghiên cứu IB cho hiện tượng này (xem §2.3.2.7). Kiribati 2025 là extreme nhất với FSTS 1,03%, FDI 0,7%, website 18,7%.</w:t>
      </w:r>
      <w:r>
        <w:t xml:space="preserve"> </w:t>
      </w:r>
      <w:r>
        <w:rPr>
          <w:bCs/>
          <w:b/>
        </w:rPr>
        <w:t xml:space="preserve">Đóng góp này vượt scope chính của tiêu đề luận án nhưng làm sáng tỏ điều kiện biên của lý thuyết Uppsala</w:t>
      </w:r>
      <w:r>
        <w:t xml:space="preserve"> </w:t>
      </w:r>
      <w:r>
        <w:t xml:space="preserve">(Johanson &amp; Vahlne, 1977), minh họa qua tương phản. Chi tiết phân tích cho SIDS Pacific được trình bày trong phần phân tích các quốc đảo nhỏ Thái Bình Dương (SIDS) của luận án.</w:t>
      </w:r>
    </w:p>
    <w:bookmarkEnd w:id="33"/>
    <w:bookmarkStart w:id="34" w:name="kết-cấu-chuyên-đề"/>
    <w:p>
      <w:pPr>
        <w:pStyle w:val="Heading4"/>
      </w:pPr>
      <w:r>
        <w:t xml:space="preserve">2.1.6 Kết cấu chuyên đề</w:t>
      </w:r>
    </w:p>
    <w:p>
      <w:pPr>
        <w:pStyle w:val="FirstParagraph"/>
      </w:pPr>
      <w:r>
        <w:t xml:space="preserve">Phần 2 (Nội dung chuyên đề) gồm bốn mục theo chuẩn QĐ 1799/QĐ-ĐHCT: §2.1 Đặt vấn đề (giới thiệu, mục tiêu, nội dung, giới hạn, ý nghĩa); §2.2 Phương pháp nghiên cứu (cơ sở lý luận về hiệu quả hoạt động kinh doanh, khung phân loại 6 sub-regime ICRV, nguồn dữ liệu WBES và phương pháp mô tả-chẩn đoán); §2.3 Kết quả và thảo luận (thực trạng tổng thể 47 nền kinh tế châu Á 2009-2025 qua 10 chỉ báo §2.3.1.1-§2.3.1.10; bảy tiểu cảnh điển hình §2.3.2 gồm 6 quốc gia châu Á chính + 1 SIDS boundary case; các yếu tố giải thích sơ bộ §2.3.3); §2.4 Kết luận và đề xuất (khoảng trống nghiên cứu thực tiễn, kết luận chính, hàm ý cho luận án và Chuyên đề 2, hạn chế và kế hoạch hoàn thiện).</w:t>
      </w:r>
    </w:p>
    <w:p>
      <w:r>
        <w:pict>
          <v:rect style="width:0;height:1.5pt" o:hralign="center" o:hrstd="t" o:hr="t"/>
        </w:pict>
      </w:r>
    </w:p>
    <w:bookmarkEnd w:id="34"/>
    <w:bookmarkEnd w:id="35"/>
    <w:bookmarkStart w:id="41" w:name="phương-pháp-nghiên-cứu"/>
    <w:p>
      <w:pPr>
        <w:pStyle w:val="Heading3"/>
      </w:pPr>
      <w:r>
        <w:t xml:space="preserve">2.2 Phương pháp nghiên cứu</w:t>
      </w:r>
    </w:p>
    <w:bookmarkStart w:id="38" w:name="Xb7f628376877e6b3394a2ce7cb98209bea18ab9"/>
    <w:p>
      <w:pPr>
        <w:pStyle w:val="Heading4"/>
      </w:pPr>
      <w:r>
        <w:t xml:space="preserve">2.2.1 Cơ sở lý luận về hiệu quả hoạt động kinh doanh</w:t>
      </w:r>
    </w:p>
    <w:p>
      <w:pPr>
        <w:pStyle w:val="FirstParagraph"/>
      </w:pPr>
      <w:r>
        <w:t xml:space="preserve">(Năm tiểu mục đầy đủ §2.1–§2.5: khái niệm; chiều đo lường; meta-analysis; chuẩn hóa xuyên quốc gia; ba khung lý thuyết.)</w:t>
      </w:r>
    </w:p>
    <w:bookmarkStart w:id="36" w:name="X1a8b5920726a715638e9b692b5093988b2836eb"/>
    <w:p>
      <w:pPr>
        <w:pStyle w:val="Heading5"/>
      </w:pPr>
      <w:r>
        <w:t xml:space="preserve">2.2.1.1 Điều kiện biên cho U-curve Lu &amp; Beamish (2004)</w:t>
      </w:r>
    </w:p>
    <w:p>
      <w:pPr>
        <w:pStyle w:val="FirstParagraph"/>
      </w:pPr>
      <w:r>
        <w:t xml:space="preserve">Ghi chú phân tích nội bộ của tác giả (2026) lưu ý: việc nhét khái niệm</w:t>
      </w:r>
      <w:r>
        <w:t xml:space="preserve"> </w:t>
      </w:r>
      <w:r>
        <w:t xml:space="preserve">“</w:t>
      </w:r>
      <w:r>
        <w:t xml:space="preserve">chi phí buộc phải quốc tế hóa SIDS Pacific</w:t>
      </w:r>
      <w:r>
        <w:t xml:space="preserve">”</w:t>
      </w:r>
      <w:r>
        <w:t xml:space="preserve"> </w:t>
      </w:r>
      <w:r>
        <w:t xml:space="preserve">vào §2.3.1.4 mục §2.3.1 chuyên đề làm mờ ranh giới giữa hai loại điều tiết thể chế: (i) thể chế</w:t>
      </w:r>
      <w:r>
        <w:t xml:space="preserve"> </w:t>
      </w:r>
      <w:r>
        <w:rPr>
          <w:bCs/>
          <w:b/>
        </w:rPr>
        <w:t xml:space="preserve">điều tiết cường độ lợi nhuận</w:t>
      </w:r>
      <w:r>
        <w:t xml:space="preserve"> </w:t>
      </w:r>
      <w:r>
        <w:t xml:space="preserve">từ quốc tế hóa (U-curve operating); (ii) thể chế</w:t>
      </w:r>
      <w:r>
        <w:t xml:space="preserve"> </w:t>
      </w:r>
      <w:r>
        <w:rPr>
          <w:bCs/>
          <w:b/>
        </w:rPr>
        <w:t xml:space="preserve">quyết định sự tồn tại của quy luật U-curve</w:t>
      </w:r>
      <w:r>
        <w:t xml:space="preserve"> </w:t>
      </w:r>
      <w:r>
        <w:t xml:space="preserve">(boundary case). Cần thiết lập 3 điều kiện cấu trúc cho U-curve từ sớm trong Chương 2 thì khi Chương 4–5 phân tích sự thất bại, mảnh ghép sẽ hoàn hảo. SIDS Pacific là trường hợp</w:t>
      </w:r>
      <w:r>
        <w:t xml:space="preserve"> </w:t>
      </w:r>
      <w:r>
        <w:rPr>
          <w:bCs/>
          <w:b/>
        </w:rPr>
        <w:t xml:space="preserve">đường cong U ngược (Lu &amp; Beamish, 2004) bị biến dạng thành đường cong đảo ngược</w:t>
      </w:r>
      <w:r>
        <w:t xml:space="preserve">, không phải dị biệt ngẫu nhiên mà là điều kiện biên (boundary condition, Bello &amp; Kostova, 2012) của lý thuyết.</w:t>
      </w:r>
    </w:p>
    <w:p>
      <w:pPr>
        <w:pStyle w:val="BodyText"/>
      </w:pPr>
      <w:r>
        <w:rPr>
          <w:bCs/>
          <w:b/>
        </w:rPr>
        <w:t xml:space="preserve">Ba điều kiện cấu trúc bắt buộc cho U-curve vận hành</w:t>
      </w:r>
      <w:r>
        <w:t xml:space="preserve"> </w:t>
      </w:r>
      <w:r>
        <w:t xml:space="preserve">(theoretical foundation cho Chương 4–5 mục §2.3.1 chuyên đề/16 + CĐ2 H6):</w:t>
      </w:r>
    </w:p>
    <w:p>
      <w:pPr>
        <w:numPr>
          <w:ilvl w:val="0"/>
          <w:numId w:val="1007"/>
        </w:numPr>
      </w:pPr>
      <w:r>
        <w:rPr>
          <w:bCs/>
          <w:b/>
        </w:rPr>
        <w:t xml:space="preserve">Điều kiện thị trường nội địa khả thi</w:t>
      </w:r>
      <w:r>
        <w:t xml:space="preserve"> </w:t>
      </w:r>
      <w:r>
        <w:t xml:space="preserve">(viable domestic market): Doanh nghiệp có thể bán hàng nội địa ở quy mô đủ để tích lũy năng lực kinh doanh trước khi quốc tế hóa. Điều kiện này thỏa ở Singapore (5,9 triệu dân, GDP per capita ~$80.000), Trung Quốc (1,4 tỷ dân), Việt Nam (98 triệu dân), Indonesia (273 triệu). KHÔNG thỏa ở Kiribati (130.000 dân, GDP per capita ~$1.700), Tuvalu (~12.000 dân) hoặc Tonga (~106.000);</w:t>
      </w:r>
    </w:p>
    <w:p>
      <w:pPr>
        <w:numPr>
          <w:ilvl w:val="0"/>
          <w:numId w:val="1007"/>
        </w:numPr>
      </w:pPr>
      <w:r>
        <w:rPr>
          <w:bCs/>
          <w:b/>
        </w:rPr>
        <w:t xml:space="preserve">Điều kiện chi phí thương mại kiểm soát được</w:t>
      </w:r>
      <w:r>
        <w:t xml:space="preserve"> </w:t>
      </w:r>
      <w:r>
        <w:t xml:space="preserve">(manageable trade costs): Logistics, vận tải biển/hàng không, regulations cho xuất nhập khẩu nằm trong khoảng kinh tế. Điều kiện này thỏa ở Châu Á đại lục. KHÔNG thỏa đầy đủ ở SIDS Pacific xa hub thương mại (Fiji-Auckland 2.100 km, Kiribati-Suva 2.700 km, không có direct flight thường xuyên; Vanuatu-Sydney 2.500 km);</w:t>
      </w:r>
    </w:p>
    <w:p>
      <w:pPr>
        <w:numPr>
          <w:ilvl w:val="0"/>
          <w:numId w:val="1007"/>
        </w:numPr>
      </w:pPr>
      <w:r>
        <w:rPr>
          <w:bCs/>
          <w:b/>
        </w:rPr>
        <w:t xml:space="preserve">Điều kiện thể chế vận hành</w:t>
      </w:r>
      <w:r>
        <w:t xml:space="preserve"> </w:t>
      </w:r>
      <w:r>
        <w:t xml:space="preserve">(functional institutions): Khung pháp lý, IPR, contract enforcement, banking infrastructure ở mức tối thiểu cho hoạt động kinh doanh. Điều kiện này thỏa ở Advanced (Singapore, Korea, Israel) và Upper-middle (Trung Quốc, Malaysia). KHÔNG thỏa đầy đủ ở SIDS isolated (Kiribati ISO 1,3%, FDI 0,7%) hay frontier conflict zones (Afghanistan, Yemen, Iraq); riêng nhóm Emerging có gap de jure–de facto lớn theo Xu (2024) gây bẫy chuyển hướng nguồn lực.</w:t>
      </w:r>
    </w:p>
    <w:p>
      <w:pPr>
        <w:pStyle w:val="FirstParagraph"/>
      </w:pPr>
      <w:r>
        <w:rPr>
          <w:bCs/>
          <w:b/>
        </w:rPr>
        <w:t xml:space="preserve">Bảng 2.6.1</w:t>
      </w:r>
      <w:r>
        <w:t xml:space="preserve">.</w:t>
      </w:r>
      <w:r>
        <w:t xml:space="preserve"> </w:t>
      </w:r>
      <w:r>
        <w:rPr>
          <w:iCs/>
          <w:i/>
        </w:rPr>
        <w:t xml:space="preserve">Ma trận đối chiếu lý thuyết 3 trạng thái U-curve theo 3 điều kiện cấu trúc.</w:t>
      </w:r>
    </w:p>
    <w:tbl>
      <w:tblPr>
        <w:tblStyle w:val="Table"/>
        <w:tblW w:type="pct" w:w="5000"/>
        <w:tblLook w:firstRow="1" w:lastRow="0" w:firstColumn="0" w:lastColumn="0" w:noHBand="0" w:noVBand="0" w:val="0020"/>
        <w:jc w:val="start"/>
      </w:tblPr>
      <w:tblGrid>
        <w:gridCol w:w="990"/>
        <w:gridCol w:w="990"/>
        <w:gridCol w:w="1650"/>
        <w:gridCol w:w="1650"/>
        <w:gridCol w:w="1650"/>
        <w:gridCol w:w="990"/>
      </w:tblGrid>
      <w:tr>
        <w:trPr>
          <w:tblHeader w:val="true"/>
        </w:trPr>
        <w:tc>
          <w:tcPr/>
          <w:p>
            <w:pPr>
              <w:pStyle w:val="Compact"/>
              <w:jc w:val="left"/>
            </w:pPr>
            <w:r>
              <w:t xml:space="preserve">Trạng thái</w:t>
            </w:r>
          </w:p>
        </w:tc>
        <w:tc>
          <w:tcPr/>
          <w:p>
            <w:pPr>
              <w:pStyle w:val="Compact"/>
              <w:jc w:val="left"/>
            </w:pPr>
            <w:r>
              <w:t xml:space="preserve">Đại diện</w:t>
            </w:r>
          </w:p>
        </w:tc>
        <w:tc>
          <w:tcPr/>
          <w:p>
            <w:pPr>
              <w:pStyle w:val="Compact"/>
              <w:jc w:val="center"/>
            </w:pPr>
            <w:r>
              <w:t xml:space="preserve">ĐK 1 (thị trường)</w:t>
            </w:r>
          </w:p>
        </w:tc>
        <w:tc>
          <w:tcPr/>
          <w:p>
            <w:pPr>
              <w:pStyle w:val="Compact"/>
              <w:jc w:val="center"/>
            </w:pPr>
            <w:r>
              <w:t xml:space="preserve">ĐK 2 (chi phí TM)</w:t>
            </w:r>
          </w:p>
        </w:tc>
        <w:tc>
          <w:tcPr/>
          <w:p>
            <w:pPr>
              <w:pStyle w:val="Compact"/>
              <w:jc w:val="center"/>
            </w:pPr>
            <w:r>
              <w:t xml:space="preserve">ĐK 3 (thể chế)</w:t>
            </w:r>
          </w:p>
        </w:tc>
        <w:tc>
          <w:tcPr/>
          <w:p>
            <w:pPr>
              <w:pStyle w:val="Compact"/>
              <w:jc w:val="left"/>
            </w:pPr>
            <w:r>
              <w:t xml:space="preserve">Hành vi U-curve</w:t>
            </w:r>
          </w:p>
        </w:tc>
      </w:tr>
      <w:tr>
        <w:tc>
          <w:tcPr/>
          <w:p>
            <w:pPr>
              <w:pStyle w:val="Compact"/>
              <w:jc w:val="left"/>
            </w:pPr>
            <w:r>
              <w:rPr>
                <w:bCs/>
                <w:b/>
              </w:rPr>
              <w:t xml:space="preserve">A. Điểm tối ưu của U-curve</w:t>
            </w:r>
          </w:p>
        </w:tc>
        <w:tc>
          <w:tcPr/>
          <w:p>
            <w:pPr>
              <w:pStyle w:val="Compact"/>
              <w:jc w:val="left"/>
            </w:pPr>
            <w:r>
              <w:t xml:space="preserve">Singapore, Hong Kong, Hàn Quốc, Đài Loan</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p>
        </w:tc>
        <w:tc>
          <w:tcPr/>
          <w:p>
            <w:pPr>
              <w:pStyle w:val="Compact"/>
              <w:jc w:val="left"/>
            </w:pPr>
            <w:r>
              <w:t xml:space="preserve">U-curve vận hành chuẩn — FSTS có optimal level cho hiệu quả tối đa (Lu &amp; Beamish, 2004)</w:t>
            </w:r>
          </w:p>
        </w:tc>
      </w:tr>
      <w:tr>
        <w:tc>
          <w:tcPr/>
          <w:p>
            <w:pPr>
              <w:pStyle w:val="Compact"/>
              <w:jc w:val="left"/>
            </w:pPr>
            <w:r>
              <w:rPr>
                <w:bCs/>
                <w:b/>
              </w:rPr>
              <w:t xml:space="preserve">B. Bẫy chuyển hướng nguồn lực (RDT)</w:t>
            </w:r>
          </w:p>
        </w:tc>
        <w:tc>
          <w:tcPr/>
          <w:p>
            <w:pPr>
              <w:pStyle w:val="Compact"/>
              <w:jc w:val="left"/>
            </w:pPr>
            <w:r>
              <w:t xml:space="preserve">Việt Nam, Indonesia, Trung Quốc, Mongolia</w:t>
            </w:r>
          </w:p>
        </w:tc>
        <w:tc>
          <w:tcPr/>
          <w:p>
            <w:pPr>
              <w:pStyle w:val="Compact"/>
              <w:jc w:val="center"/>
            </w:pPr>
            <w:r>
              <w:t xml:space="preserve">✓</w:t>
            </w:r>
          </w:p>
        </w:tc>
        <w:tc>
          <w:tcPr/>
          <w:p>
            <w:pPr>
              <w:pStyle w:val="Compact"/>
              <w:jc w:val="center"/>
            </w:pPr>
            <w:r>
              <w:t xml:space="preserve">✓</w:t>
            </w:r>
          </w:p>
        </w:tc>
        <w:tc>
          <w:tcPr/>
          <w:p>
            <w:pPr>
              <w:pStyle w:val="Compact"/>
              <w:jc w:val="center"/>
            </w:pPr>
            <w:r>
              <w:t xml:space="preserve">⚠</w:t>
            </w:r>
            <w:r>
              <w:t xml:space="preserve"> </w:t>
            </w:r>
            <w:r>
              <w:rPr>
                <w:iCs/>
                <w:i/>
              </w:rPr>
              <w:t xml:space="preserve">(gap de jure–de facto Xu 2024)</w:t>
            </w:r>
          </w:p>
        </w:tc>
        <w:tc>
          <w:tcPr/>
          <w:p>
            <w:pPr>
              <w:pStyle w:val="Compact"/>
              <w:jc w:val="left"/>
            </w:pPr>
            <w:r>
              <w:t xml:space="preserve">U-curve vận hành nhưng có</w:t>
            </w:r>
            <w:r>
              <w:t xml:space="preserve"> </w:t>
            </w:r>
            <w:r>
              <w:rPr>
                <w:bCs/>
                <w:b/>
              </w:rPr>
              <w:t xml:space="preserve">bẫy chuyển hướng nguồn lực</w:t>
            </w:r>
            <w:r>
              <w:t xml:space="preserve"> </w:t>
            </w:r>
            <w:r>
              <w:t xml:space="preserve">(resource diversion trap) — chi phí thể chế thực thi &gt; lợi ích quốc tế hóa ở mức trung; cần ICRV phân biệt formal rules vs implementation capacity</w:t>
            </w:r>
          </w:p>
        </w:tc>
      </w:tr>
      <w:tr>
        <w:tc>
          <w:tcPr/>
          <w:p>
            <w:pPr>
              <w:pStyle w:val="Compact"/>
              <w:jc w:val="left"/>
            </w:pPr>
            <w:r>
              <w:rPr>
                <w:bCs/>
                <w:b/>
              </w:rPr>
              <w:t xml:space="preserve">C. Sự sụp đổ của đường cong</w:t>
            </w:r>
          </w:p>
        </w:tc>
        <w:tc>
          <w:tcPr/>
          <w:p>
            <w:pPr>
              <w:pStyle w:val="Compact"/>
              <w:jc w:val="left"/>
            </w:pPr>
            <w:r>
              <w:t xml:space="preserve">SIDS Pacific (Fiji, Kiribati, Tuvalu, Tonga)</w:t>
            </w:r>
          </w:p>
        </w:tc>
        <w:tc>
          <w:tcPr/>
          <w:p>
            <w:pPr>
              <w:pStyle w:val="Compact"/>
              <w:jc w:val="center"/>
            </w:pPr>
            <w:r>
              <w:t xml:space="preserve">✗</w:t>
            </w:r>
            <w:r>
              <w:t xml:space="preserve"> </w:t>
            </w:r>
            <w:r>
              <w:rPr>
                <w:iCs/>
                <w:i/>
              </w:rPr>
              <w:t xml:space="preserve">(thị trường &lt;1 triệu dân)</w:t>
            </w:r>
          </w:p>
        </w:tc>
        <w:tc>
          <w:tcPr/>
          <w:p>
            <w:pPr>
              <w:pStyle w:val="Compact"/>
              <w:jc w:val="center"/>
            </w:pPr>
            <w:r>
              <w:t xml:space="preserve">✗</w:t>
            </w:r>
            <w:r>
              <w:t xml:space="preserve"> </w:t>
            </w:r>
            <w:r>
              <w:rPr>
                <w:iCs/>
                <w:i/>
              </w:rPr>
              <w:t xml:space="preserve">(cô lập địa lý 2.000+ km tới hub)</w:t>
            </w:r>
          </w:p>
        </w:tc>
        <w:tc>
          <w:tcPr/>
          <w:p>
            <w:pPr>
              <w:pStyle w:val="Compact"/>
              <w:jc w:val="center"/>
            </w:pPr>
            <w:r>
              <w:t xml:space="preserve">⚠–✗</w:t>
            </w:r>
            <w:r>
              <w:t xml:space="preserve"> </w:t>
            </w:r>
            <w:r>
              <w:rPr>
                <w:iCs/>
                <w:i/>
              </w:rPr>
              <w:t xml:space="preserve">(ISO &lt;2%, banking limited)</w:t>
            </w:r>
          </w:p>
        </w:tc>
        <w:tc>
          <w:tcPr/>
          <w:p>
            <w:pPr>
              <w:pStyle w:val="Compact"/>
              <w:jc w:val="left"/>
            </w:pPr>
            <w:r>
              <w:rPr>
                <w:bCs/>
                <w:b/>
              </w:rPr>
              <w:t xml:space="preserve">U-curve không vận hành</w:t>
            </w:r>
            <w:r>
              <w:t xml:space="preserve"> </w:t>
            </w:r>
            <w:r>
              <w:t xml:space="preserve">— quốc tế hóa là</w:t>
            </w:r>
            <w:r>
              <w:t xml:space="preserve"> </w:t>
            </w:r>
            <w:r>
              <w:rPr>
                <w:bCs/>
                <w:b/>
              </w:rPr>
              <w:t xml:space="preserve">buộc phải</w:t>
            </w:r>
            <w:r>
              <w:t xml:space="preserve"> </w:t>
            </w:r>
            <w:r>
              <w:t xml:space="preserve">(forced internationalization penalty Briguglio 1995; Bertram 2006); Fiji 74,8% website &gt; Singapore 66% là minh chứng</w:t>
            </w:r>
          </w:p>
        </w:tc>
      </w:tr>
    </w:tbl>
    <w:p>
      <w:pPr>
        <w:pStyle w:val="BodyText"/>
      </w:pPr>
      <w:r>
        <w:rPr>
          <w:bCs/>
          <w:b/>
        </w:rPr>
        <w:t xml:space="preserve">Tham chiếu</w:t>
      </w:r>
      <w:r>
        <w:t xml:space="preserve">: Lu &amp; Beamish (2004); Briguglio (1995); Bertram (2006); Bello &amp; Kostova (2012); Cuervo-Cazurra et al. (2018); Banalieva &amp; Dhanaraj (2019); Xu (2024) cho de jure–de facto gap ở trạng thái B; tác giả, ghi chú phân tích nội bộ (2026).</w:t>
      </w:r>
    </w:p>
    <w:p>
      <w:pPr>
        <w:pStyle w:val="BodyText"/>
      </w:pPr>
      <w:r>
        <w:t xml:space="preserve">Ma trận 3 trạng thái này thiết lập</w:t>
      </w:r>
      <w:r>
        <w:t xml:space="preserve"> </w:t>
      </w:r>
      <w:r>
        <w:rPr>
          <w:bCs/>
          <w:b/>
        </w:rPr>
        <w:t xml:space="preserve">tiền đề lý thuyết bắt buộc</w:t>
      </w:r>
      <w:r>
        <w:t xml:space="preserve"> </w:t>
      </w:r>
      <w:r>
        <w:t xml:space="preserve">cho:</w:t>
      </w:r>
      <w:r>
        <w:t xml:space="preserve"> </w:t>
      </w:r>
      <w:r>
        <w:t xml:space="preserve">-</w:t>
      </w:r>
      <w:r>
        <w:t xml:space="preserve"> </w:t>
      </w:r>
      <w:r>
        <w:rPr>
          <w:bCs/>
          <w:b/>
        </w:rPr>
        <w:t xml:space="preserve">§3 ICRV regime classification</w:t>
      </w:r>
      <w:r>
        <w:t xml:space="preserve">: Singapore = Advanced innovation (trạng thái A); Việt Nam = Emerging (trạng thái B); SIDS Pacific = boundary case extension (trạng thái C), tách 3 trạng thái thay vì gộp;</w:t>
      </w:r>
      <w:r>
        <w:t xml:space="preserve"> </w:t>
      </w:r>
      <w:r>
        <w:t xml:space="preserve">-</w:t>
      </w:r>
      <w:r>
        <w:t xml:space="preserve"> </w:t>
      </w:r>
      <w:r>
        <w:rPr>
          <w:bCs/>
          <w:b/>
        </w:rPr>
        <w:t xml:space="preserve">§2.3.2.2 (Singapore archetype)</w:t>
      </w:r>
      <w:r>
        <w:t xml:space="preserve"> </w:t>
      </w:r>
      <w:r>
        <w:t xml:space="preserve">+</w:t>
      </w:r>
      <w:r>
        <w:t xml:space="preserve"> </w:t>
      </w:r>
      <w:r>
        <w:rPr>
          <w:bCs/>
          <w:b/>
        </w:rPr>
        <w:t xml:space="preserve">§2.3.2.7 (Pacific and Indian Ocean SIDS case)</w:t>
      </w:r>
      <w:r>
        <w:t xml:space="preserve"> </w:t>
      </w:r>
      <w:r>
        <w:t xml:space="preserve">trong mục §2.3.2–§2.4 chuyên đề;</w:t>
      </w:r>
      <w:r>
        <w:t xml:space="preserve"> </w:t>
      </w:r>
      <w:r>
        <w:t xml:space="preserve">-</w:t>
      </w:r>
      <w:r>
        <w:t xml:space="preserve"> </w:t>
      </w:r>
      <w:r>
        <w:rPr>
          <w:bCs/>
          <w:b/>
        </w:rPr>
        <w:t xml:space="preserve">CĐ2 H6 (forced internationalization penalty)</w:t>
      </w:r>
      <w:r>
        <w:t xml:space="preserve">: dự đoán ở SIDS Pacific (trạng thái C), FSTS KHÔNG correlate với năng suất vì U-curve không vận hành. Hệ số FSTS ở SIDS sẽ không-significant hoặc đảo dấu so với Advanced/Emerging.</w:t>
      </w:r>
    </w:p>
    <w:bookmarkEnd w:id="36"/>
    <w:bookmarkStart w:id="37" w:name="X71ac781f72fe6d265727e71a6fb014eb7d17761"/>
    <w:p>
      <w:pPr>
        <w:pStyle w:val="Heading5"/>
      </w:pPr>
      <w:r>
        <w:t xml:space="preserve">2.2.1.2 Khung 4-Tier chuyển đổi số và Mô hình năng lực số phụ thuộc bối cảnh (CDCM)</w:t>
      </w:r>
    </w:p>
    <w:p>
      <w:pPr>
        <w:pStyle w:val="FirstParagraph"/>
      </w:pPr>
      <w:r>
        <w:t xml:space="preserve">Việc đối chiếu phân tích Singapore và Việt Nam của luận án chỉ ra một construct validity gap quan trọng: DAI đo lường trong cả hai bối cảnh chỉ chạm tầng cơ bản (Tier 1 = website cho Việt Nam; Tier 1+2 = website + e-payment cho Singapore), trong khi lý thuyết về</w:t>
      </w:r>
      <w:r>
        <w:t xml:space="preserve"> </w:t>
      </w:r>
      <w:r>
        <w:rPr>
          <w:iCs/>
          <w:i/>
        </w:rPr>
        <w:t xml:space="preserve">super-linear coordination cost</w:t>
      </w:r>
      <w:r>
        <w:t xml:space="preserve"> </w:t>
      </w:r>
      <w:r>
        <w:t xml:space="preserve">(Brynjolfsson &amp; McAfee, 2014) đòi hỏi tầng tích hợp sâu (Tier 3) hoặc năng lực động (Tier 4). Cần thiết lập explicit</w:t>
      </w:r>
      <w:r>
        <w:t xml:space="preserve"> </w:t>
      </w:r>
      <w:r>
        <w:rPr>
          <w:bCs/>
          <w:b/>
        </w:rPr>
        <w:t xml:space="preserve">construct boundary</w:t>
      </w:r>
      <w:r>
        <w:t xml:space="preserve"> </w:t>
      </w:r>
      <w:r>
        <w:t xml:space="preserve">từ Chương 2, trước khi báo cáo descriptive results, để phòng tránh</w:t>
      </w:r>
      <w:r>
        <w:t xml:space="preserve"> </w:t>
      </w:r>
      <w:r>
        <w:t xml:space="preserve">“</w:t>
      </w:r>
      <w:r>
        <w:t xml:space="preserve">overclaiming</w:t>
      </w:r>
      <w:r>
        <w:t xml:space="preserve">”</w:t>
      </w:r>
      <w:r>
        <w:t xml:space="preserve"> </w:t>
      </w:r>
      <w:r>
        <w:t xml:space="preserve">trong khi nộp Hội đồng CTU + tránh</w:t>
      </w:r>
      <w:r>
        <w:t xml:space="preserve"> </w:t>
      </w:r>
      <w:r>
        <w:t xml:space="preserve">“</w:t>
      </w:r>
      <w:r>
        <w:t xml:space="preserve">desk-reject</w:t>
      </w:r>
      <w:r>
        <w:t xml:space="preserve">”</w:t>
      </w:r>
      <w:r>
        <w:t xml:space="preserve"> </w:t>
      </w:r>
      <w:r>
        <w:t xml:space="preserve">khi submit Q1/Q2 IB journals.</w:t>
      </w:r>
    </w:p>
    <w:p>
      <w:pPr>
        <w:pStyle w:val="BodyText"/>
      </w:pPr>
      <w:r>
        <w:rPr>
          <w:bCs/>
          <w:b/>
        </w:rPr>
        <w:t xml:space="preserve">Bốn tầng bậc số hóa theo Verhoef et al. (2021,</w:t>
      </w:r>
      <w:r>
        <w:rPr>
          <w:bCs/>
          <w:b/>
        </w:rPr>
        <w:t xml:space="preserve"> </w:t>
      </w:r>
      <w:r>
        <w:rPr>
          <w:iCs/>
          <w:i/>
          <w:bCs/>
          <w:b/>
        </w:rPr>
        <w:t xml:space="preserve">Journal of Business Research</w:t>
      </w:r>
      <w:r>
        <w:rPr>
          <w:bCs/>
          <w:b/>
        </w:rPr>
        <w:t xml:space="preserve">)</w:t>
      </w:r>
      <w:r>
        <w:t xml:space="preser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Tầng</w:t>
            </w:r>
          </w:p>
        </w:tc>
        <w:tc>
          <w:tcPr/>
          <w:p>
            <w:pPr>
              <w:pStyle w:val="Compact"/>
              <w:jc w:val="left"/>
            </w:pPr>
            <w:r>
              <w:t xml:space="preserve">Tên (Việt)</w:t>
            </w:r>
          </w:p>
        </w:tc>
        <w:tc>
          <w:tcPr/>
          <w:p>
            <w:pPr>
              <w:pStyle w:val="Compact"/>
              <w:jc w:val="left"/>
            </w:pPr>
            <w:r>
              <w:t xml:space="preserve">Tên (Anh)</w:t>
            </w:r>
          </w:p>
        </w:tc>
        <w:tc>
          <w:tcPr/>
          <w:p>
            <w:pPr>
              <w:pStyle w:val="Compact"/>
              <w:jc w:val="left"/>
            </w:pPr>
            <w:r>
              <w:t xml:space="preserve">Đại diện đo lường</w:t>
            </w:r>
          </w:p>
        </w:tc>
        <w:tc>
          <w:tcPr/>
          <w:p>
            <w:pPr>
              <w:pStyle w:val="Compact"/>
              <w:jc w:val="left"/>
            </w:pPr>
            <w:r>
              <w:t xml:space="preserve">Quan sát được trong WBES?</w:t>
            </w:r>
          </w:p>
        </w:tc>
      </w:tr>
      <w:tr>
        <w:tc>
          <w:tcPr/>
          <w:p>
            <w:pPr>
              <w:pStyle w:val="Compact"/>
              <w:jc w:val="left"/>
            </w:pPr>
            <w:r>
              <w:rPr>
                <w:bCs/>
                <w:b/>
              </w:rPr>
              <w:t xml:space="preserve">Tier 1</w:t>
            </w:r>
          </w:p>
        </w:tc>
        <w:tc>
          <w:tcPr/>
          <w:p>
            <w:pPr>
              <w:pStyle w:val="Compact"/>
              <w:jc w:val="left"/>
            </w:pPr>
            <w:r>
              <w:t xml:space="preserve">Sự hiện diện số cơ bản</w:t>
            </w:r>
          </w:p>
        </w:tc>
        <w:tc>
          <w:tcPr/>
          <w:p>
            <w:pPr>
              <w:pStyle w:val="Compact"/>
              <w:jc w:val="left"/>
            </w:pPr>
            <w:r>
              <w:rPr>
                <w:iCs/>
                <w:i/>
              </w:rPr>
              <w:t xml:space="preserve">Digital Presence</w:t>
            </w:r>
          </w:p>
        </w:tc>
        <w:tc>
          <w:tcPr/>
          <w:p>
            <w:pPr>
              <w:pStyle w:val="Compact"/>
              <w:jc w:val="left"/>
            </w:pPr>
            <w:r>
              <w:t xml:space="preserve">website binary, email</w:t>
            </w:r>
          </w:p>
        </w:tc>
        <w:tc>
          <w:tcPr/>
          <w:p>
            <w:pPr>
              <w:pStyle w:val="Compact"/>
              <w:jc w:val="left"/>
            </w:pPr>
            <w:r>
              <w:t xml:space="preserve">✓ Có (toàn pool 2009-2025)</w:t>
            </w:r>
          </w:p>
        </w:tc>
      </w:tr>
      <w:tr>
        <w:tc>
          <w:tcPr/>
          <w:p>
            <w:pPr>
              <w:pStyle w:val="Compact"/>
              <w:jc w:val="left"/>
            </w:pPr>
            <w:r>
              <w:rPr>
                <w:bCs/>
                <w:b/>
              </w:rPr>
              <w:t xml:space="preserve">Tier 2</w:t>
            </w:r>
          </w:p>
        </w:tc>
        <w:tc>
          <w:tcPr/>
          <w:p>
            <w:pPr>
              <w:pStyle w:val="Compact"/>
              <w:jc w:val="left"/>
            </w:pPr>
            <w:r>
              <w:t xml:space="preserve">Giao tiếp số + thương mại điện tử cơ bản</w:t>
            </w:r>
          </w:p>
        </w:tc>
        <w:tc>
          <w:tcPr/>
          <w:p>
            <w:pPr>
              <w:pStyle w:val="Compact"/>
              <w:jc w:val="left"/>
            </w:pPr>
            <w:r>
              <w:rPr>
                <w:iCs/>
                <w:i/>
              </w:rPr>
              <w:t xml:space="preserve">Digital communication + basic e-commerce</w:t>
            </w:r>
          </w:p>
        </w:tc>
        <w:tc>
          <w:tcPr/>
          <w:p>
            <w:pPr>
              <w:pStyle w:val="Compact"/>
              <w:jc w:val="left"/>
            </w:pPr>
            <w:r>
              <w:t xml:space="preserve">e-payment intensity (k33, k38), online ordering</w:t>
            </w:r>
          </w:p>
        </w:tc>
        <w:tc>
          <w:tcPr/>
          <w:p>
            <w:pPr>
              <w:pStyle w:val="Compact"/>
              <w:jc w:val="left"/>
            </w:pPr>
            <w:r>
              <w:t xml:space="preserve">✓ Có một phần (BREADY 2018+)</w:t>
            </w:r>
          </w:p>
        </w:tc>
      </w:tr>
      <w:tr>
        <w:tc>
          <w:tcPr/>
          <w:p>
            <w:pPr>
              <w:pStyle w:val="Compact"/>
              <w:jc w:val="left"/>
            </w:pPr>
            <w:r>
              <w:rPr>
                <w:bCs/>
                <w:b/>
              </w:rPr>
              <w:t xml:space="preserve">Tier 3</w:t>
            </w:r>
          </w:p>
        </w:tc>
        <w:tc>
          <w:tcPr/>
          <w:p>
            <w:pPr>
              <w:pStyle w:val="Compact"/>
              <w:jc w:val="left"/>
            </w:pPr>
            <w:r>
              <w:t xml:space="preserve">Tích hợp quy trình số</w:t>
            </w:r>
          </w:p>
        </w:tc>
        <w:tc>
          <w:tcPr/>
          <w:p>
            <w:pPr>
              <w:pStyle w:val="Compact"/>
              <w:jc w:val="left"/>
            </w:pPr>
            <w:r>
              <w:rPr>
                <w:iCs/>
                <w:i/>
              </w:rPr>
              <w:t xml:space="preserve">Digital process integration</w:t>
            </w:r>
          </w:p>
        </w:tc>
        <w:tc>
          <w:tcPr/>
          <w:p>
            <w:pPr>
              <w:pStyle w:val="Compact"/>
              <w:jc w:val="left"/>
            </w:pPr>
            <w:r>
              <w:t xml:space="preserve">ERP, CRM, supply-chain digitization</w:t>
            </w:r>
          </w:p>
        </w:tc>
        <w:tc>
          <w:tcPr/>
          <w:p>
            <w:pPr>
              <w:pStyle w:val="Compact"/>
              <w:jc w:val="left"/>
            </w:pPr>
            <w:r>
              <w:t xml:space="preserve">✗ KHÔNG quan sát</w:t>
            </w:r>
          </w:p>
        </w:tc>
      </w:tr>
      <w:tr>
        <w:tc>
          <w:tcPr/>
          <w:p>
            <w:pPr>
              <w:pStyle w:val="Compact"/>
              <w:jc w:val="left"/>
            </w:pPr>
            <w:r>
              <w:rPr>
                <w:bCs/>
                <w:b/>
              </w:rPr>
              <w:t xml:space="preserve">Tier 4</w:t>
            </w:r>
          </w:p>
        </w:tc>
        <w:tc>
          <w:tcPr/>
          <w:p>
            <w:pPr>
              <w:pStyle w:val="Compact"/>
              <w:jc w:val="left"/>
            </w:pPr>
            <w:r>
              <w:t xml:space="preserve">Năng lực số động</w:t>
            </w:r>
          </w:p>
        </w:tc>
        <w:tc>
          <w:tcPr/>
          <w:p>
            <w:pPr>
              <w:pStyle w:val="Compact"/>
              <w:jc w:val="left"/>
            </w:pPr>
            <w:r>
              <w:rPr>
                <w:iCs/>
                <w:i/>
              </w:rPr>
              <w:t xml:space="preserve">Dynamic digital capability</w:t>
            </w:r>
          </w:p>
        </w:tc>
        <w:tc>
          <w:tcPr/>
          <w:p>
            <w:pPr>
              <w:pStyle w:val="Compact"/>
              <w:jc w:val="left"/>
            </w:pPr>
            <w:r>
              <w:t xml:space="preserve">AI integration, platform orchestration, data-driven decision</w:t>
            </w:r>
          </w:p>
        </w:tc>
        <w:tc>
          <w:tcPr/>
          <w:p>
            <w:pPr>
              <w:pStyle w:val="Compact"/>
              <w:jc w:val="left"/>
            </w:pPr>
            <w:r>
              <w:t xml:space="preserve">✗ KHÔNG quan sát</w:t>
            </w:r>
          </w:p>
        </w:tc>
      </w:tr>
    </w:tbl>
    <w:p>
      <w:pPr>
        <w:pStyle w:val="BodyText"/>
      </w:pPr>
      <w:r>
        <w:rPr>
          <w:bCs/>
          <w:b/>
        </w:rPr>
        <w:t xml:space="preserve">Tuyên bố ranh giới đo lường (Construct Boundary Statement)</w:t>
      </w:r>
      <w:r>
        <w:t xml:space="preserve">: Pool 101.185 doanh nghiệp WBES quan sát Tier 1-2 (website cho toàn giai đoạn; e-payment cho wave BREADY 2018+). KHÔNG quan sát Tier 3-4. Do đó, mọi lập luận về</w:t>
      </w:r>
      <w:r>
        <w:t xml:space="preserve"> </w:t>
      </w:r>
      <w:r>
        <w:t xml:space="preserve">“</w:t>
      </w:r>
      <w:r>
        <w:t xml:space="preserve">năng lực số</w:t>
      </w:r>
      <w:r>
        <w:t xml:space="preserve">”</w:t>
      </w:r>
      <w:r>
        <w:t xml:space="preserve"> </w:t>
      </w:r>
      <w:r>
        <w:t xml:space="preserve">trong CĐ1 + papers IB thuộc luận án phải hạn chế ở phạm vi</w:t>
      </w:r>
      <w:r>
        <w:t xml:space="preserve"> </w:t>
      </w:r>
      <w:r>
        <w:rPr>
          <w:bCs/>
          <w:b/>
        </w:rPr>
        <w:t xml:space="preserve">Foundational Digital Adoption (FDA)</w:t>
      </w:r>
      <w:r>
        <w:t xml:space="preserve">, KHÔNG mở rộng thành</w:t>
      </w:r>
      <w:r>
        <w:t xml:space="preserve"> </w:t>
      </w:r>
      <w:r>
        <w:t xml:space="preserve">“</w:t>
      </w:r>
      <w:r>
        <w:t xml:space="preserve">Digital Capability</w:t>
      </w:r>
      <w:r>
        <w:t xml:space="preserve">”</w:t>
      </w:r>
      <w:r>
        <w:t xml:space="preserve"> </w:t>
      </w:r>
      <w:r>
        <w:t xml:space="preserve">hay</w:t>
      </w:r>
      <w:r>
        <w:t xml:space="preserve"> </w:t>
      </w:r>
      <w:r>
        <w:t xml:space="preserve">“</w:t>
      </w:r>
      <w:r>
        <w:t xml:space="preserve">Digital Transformation</w:t>
      </w:r>
      <w:r>
        <w:t xml:space="preserve">”</w:t>
      </w:r>
      <w:r>
        <w:t xml:space="preserve">. Đây là tiêu chuẩn nhất quán xuyên CĐ1 / CĐ2 / luận án 5 chương.</w:t>
      </w:r>
    </w:p>
    <w:p>
      <w:pPr>
        <w:pStyle w:val="BodyText"/>
      </w:pPr>
      <w:r>
        <w:rPr>
          <w:bCs/>
          <w:b/>
        </w:rPr>
        <w:t xml:space="preserve">Mô hình Năng lực số phụ thuộc bối cảnh (Context-Contingent Digital Capability Model, CDCM)</w:t>
      </w:r>
      <w:r>
        <w:t xml:space="preserve">, đóng góp lý thuyết mới hợp nhất hai tuyến phân tích quốc gia.</w:t>
      </w:r>
      <w:r>
        <w:t xml:space="preserve"> </w:t>
      </w:r>
      <w:r>
        <w:rPr>
          <w:iCs/>
          <w:i/>
        </w:rPr>
        <w:t xml:space="preserve">Định vị xuyên portfolio:</w:t>
      </w:r>
      <w:r>
        <w:t xml:space="preserve"> </w:t>
      </w:r>
      <w:r>
        <w:t xml:space="preserve">CDCM ở đây là</w:t>
      </w:r>
      <w:r>
        <w:t xml:space="preserve"> </w:t>
      </w:r>
      <w:r>
        <w:rPr>
          <w:iCs/>
          <w:i/>
        </w:rPr>
        <w:t xml:space="preserve">lớp signature</w:t>
      </w:r>
      <w:r>
        <w:t xml:space="preserve"> </w:t>
      </w:r>
      <w:r>
        <w:t xml:space="preserve">(observable signature ở cấp doanh nghiệp) trong khung tích hợp ba lớp</w:t>
      </w:r>
      <w:r>
        <w:t xml:space="preserve"> </w:t>
      </w:r>
      <w:r>
        <w:rPr>
          <w:bCs/>
          <w:b/>
        </w:rPr>
        <w:t xml:space="preserve">CIMT–ICRV–CDCM</w:t>
      </w:r>
      <w:r>
        <w:t xml:space="preserve"> </w:t>
      </w:r>
      <w:r>
        <w:t xml:space="preserve">mà luận án phát triển ở Chương 2 §2.5.1–2.5.4. Cụ thể, CIMT (Capability–Institution Mismatch Theory) là cơ chế bao trùm tầm trung tích hợp ba kênh đã khẳng định trong văn liệu IB (rent protection, LoF attenuation, institutional-void amplification); ICRV là taxonomy phân loại bối cảnh thể chế; CDCM là bằng chứng quan sát được ở cấp doanh nghiệp dưới điều kiện số hóa. CĐ1 đóng vai trò</w:t>
      </w:r>
      <w:r>
        <w:t xml:space="preserve"> </w:t>
      </w:r>
      <w:r>
        <w:rPr>
          <w:iCs/>
          <w:i/>
        </w:rPr>
        <w:t xml:space="preserve">empirical genesis</w:t>
      </w:r>
      <w:r>
        <w:t xml:space="preserve"> </w:t>
      </w:r>
      <w:r>
        <w:t xml:space="preserve">của lớp CDCM thông qua đối chiếu Việt Nam–Singapore.</w:t>
      </w:r>
    </w:p>
    <w:p>
      <w:pPr>
        <w:pStyle w:val="BodyText"/>
      </w:pPr>
      <w:r>
        <w:t xml:space="preserve">CDCM hợp nhất phát hiện từ phân tích Singapore và Việt Nam của luận án thành một khung xuyên quốc gia 3 chiều:</w:t>
      </w:r>
    </w:p>
    <w:p>
      <w:pPr>
        <w:pStyle w:val="BodyText"/>
      </w:pPr>
      <w:r>
        <w:rPr>
          <w:bCs/>
          <w:b/>
        </w:rPr>
        <w:t xml:space="preserve">(a) Hình dáng đường cong I-P (Internationalization-Performance)</w:t>
      </w:r>
      <w:r>
        <w:t xml:space="preserve">: Việt Nam → Inverted-U rõ nét, điểm uốn (TP) ≈ 39-46% FSTS xuyên 3 wave 2009-2023; Lind-Mehlum p&lt;0,013. Singapore → tuyến tính dương + bậc hai nhẹ, TP ≈ 82% FSTS (vùng dữ liệu thưa, 3,2% firms vượt 70% FSTS); Lind-Mehlum p=0,303 KHÔNG xác nhận.</w:t>
      </w:r>
    </w:p>
    <w:p>
      <w:pPr>
        <w:pStyle w:val="BodyText"/>
      </w:pPr>
      <w:r>
        <w:rPr>
          <w:bCs/>
          <w:b/>
        </w:rPr>
        <w:t xml:space="preserve">(b) Cơ chế DAI</w:t>
      </w:r>
      <w:r>
        <w:t xml:space="preserve">: Việt Nam (Tier 1 = website only) →</w:t>
      </w:r>
      <w:r>
        <w:t xml:space="preserve"> </w:t>
      </w:r>
      <w:r>
        <w:rPr>
          <w:bCs/>
          <w:b/>
        </w:rPr>
        <w:t xml:space="preserve">stage-contingent</w:t>
      </w:r>
      <w:r>
        <w:t xml:space="preserve">: mạnh 2009 → vô tác dụng 2015 → phục hồi 2023 nhưng tương tác DAI×FSTS mang dấu âm (β=-0,912, p=,043) ở mức xuất khẩu cao → Tier 1 trở thành</w:t>
      </w:r>
      <w:r>
        <w:t xml:space="preserve"> </w:t>
      </w:r>
      <w:r>
        <w:rPr>
          <w:bCs/>
          <w:b/>
        </w:rPr>
        <w:t xml:space="preserve">điểm nghẽn</w:t>
      </w:r>
      <w:r>
        <w:t xml:space="preserve">. Singapore (Tier 1+2 = website + e-payment) →</w:t>
      </w:r>
      <w:r>
        <w:t xml:space="preserve"> </w:t>
      </w:r>
      <w:r>
        <w:rPr>
          <w:bCs/>
          <w:b/>
        </w:rPr>
        <w:t xml:space="preserve">conditional scaling</w:t>
      </w:r>
      <w:r>
        <w:t xml:space="preserve">: tương tác DAI×FSTS² dương mạnh (β=3,119, p=,005) → Tier 1+2 trở thành</w:t>
      </w:r>
      <w:r>
        <w:t xml:space="preserve"> </w:t>
      </w:r>
      <w:r>
        <w:rPr>
          <w:bCs/>
          <w:b/>
        </w:rPr>
        <w:t xml:space="preserve">đòn bẩy</w:t>
      </w:r>
      <w:r>
        <w:t xml:space="preserve"> </w:t>
      </w:r>
      <w:r>
        <w:t xml:space="preserve">ở xuất khẩu cao.</w:t>
      </w:r>
    </w:p>
    <w:p>
      <w:pPr>
        <w:pStyle w:val="BodyText"/>
      </w:pPr>
      <w:r>
        <w:rPr>
          <w:bCs/>
          <w:b/>
        </w:rPr>
        <w:t xml:space="preserve">(c) Vai trò TCI (Năng lực công nghệ)</w:t>
      </w:r>
      <w:r>
        <w:t xml:space="preserve">: Việt Nam:</w:t>
      </w:r>
      <w:r>
        <w:t xml:space="preserve"> </w:t>
      </w:r>
      <w:r>
        <w:rPr>
          <w:iCs/>
          <w:i/>
        </w:rPr>
        <w:t xml:space="preserve">scarce advantage</w:t>
      </w:r>
      <w:r>
        <w:t xml:space="preserve"> </w:t>
      </w:r>
      <w:r>
        <w:t xml:space="preserve">giúp doanh nghiệp vượt rào cản quốc tế hóa (TCIz IV β=1,639, p&lt;,001 robust 2SLS). Singapore:</w:t>
      </w:r>
      <w:r>
        <w:t xml:space="preserve"> </w:t>
      </w:r>
      <w:r>
        <w:rPr>
          <w:iCs/>
          <w:i/>
        </w:rPr>
        <w:t xml:space="preserve">hygiene factor</w:t>
      </w:r>
      <w:r>
        <w:t xml:space="preserve"> </w:t>
      </w:r>
      <w:r>
        <w:t xml:space="preserve">nâng cao productivity floor nhưng KHÔNG điều tiết I-P curve.</w:t>
      </w:r>
    </w:p>
    <w:p>
      <w:pPr>
        <w:pStyle w:val="BodyText"/>
      </w:pPr>
      <w:r>
        <w:rPr>
          <w:bCs/>
          <w:b/>
        </w:rPr>
        <w:t xml:space="preserve">Lý giải xuyên quốc gia theo Institutional Transaction Costs (TCE Coase-Williamson, mở rộng Banalieva &amp; Dhanaraj 2019)</w:t>
      </w:r>
      <w:r>
        <w:t xml:space="preserve">: Ở Việt Nam, hạ tầng thương mại số yếu khiến chi phí điều phối xuyên biên giới tăng vọt ở mức xuất khẩu trung bình (TP 39-46%). Ở Singapore, hạ tầng số + logistics đã hấp thụ phần lớn chi phí này, đẩy ranh giới quá tải (overload) về vùng FSTS cực cao (~82%).</w:t>
      </w:r>
    </w:p>
    <w:p>
      <w:pPr>
        <w:pStyle w:val="BodyText"/>
      </w:pPr>
      <w:r>
        <w:rPr>
          <w:bCs/>
          <w:b/>
        </w:rPr>
        <w:t xml:space="preserve">Hàm ý phương pháp luận cho CĐ2 + luận án</w:t>
      </w:r>
      <w:r>
        <w:t xml:space="preserve">:</w:t>
      </w:r>
      <w:r>
        <w:t xml:space="preserve"> </w:t>
      </w:r>
      <w:r>
        <w:t xml:space="preserve">-</w:t>
      </w:r>
      <w:r>
        <w:t xml:space="preserve"> </w:t>
      </w:r>
      <w:r>
        <w:rPr>
          <w:bCs/>
          <w:b/>
        </w:rPr>
        <w:t xml:space="preserve">Specification 1</w:t>
      </w:r>
      <w:r>
        <w:t xml:space="preserve"> </w:t>
      </w:r>
      <w:r>
        <w:t xml:space="preserve">(Tier 1-only website, full pool 2009-2025): expected hệ số DAI âm hoặc null ở Advanced phân nhóm innovation-driven do bão hòa Tier 1 (xem §1.5 contribution #3 + §2.3.1.4.5 ICT exclusion test mục §2.3.1 chuyên đề);</w:t>
      </w:r>
      <w:r>
        <w:t xml:space="preserve"> </w:t>
      </w:r>
      <w:r>
        <w:t xml:space="preserve">-</w:t>
      </w:r>
      <w:r>
        <w:t xml:space="preserve"> </w:t>
      </w:r>
      <w:r>
        <w:rPr>
          <w:bCs/>
          <w:b/>
        </w:rPr>
        <w:t xml:space="preserve">Specification 2</w:t>
      </w:r>
      <w:r>
        <w:t xml:space="preserve"> </w:t>
      </w:r>
      <w:r>
        <w:t xml:space="preserve">(Tier 1+2 multi-component, BREADY 2018+ wave): expected positive coefficient + interaction với FSTS² dương ở Advanced, replication pattern Singapore phân tích Singapore;</w:t>
      </w:r>
      <w:r>
        <w:t xml:space="preserve"> </w:t>
      </w:r>
      <w:r>
        <w:t xml:space="preserve">-</w:t>
      </w:r>
      <w:r>
        <w:t xml:space="preserve"> </w:t>
      </w:r>
      <w:r>
        <w:rPr>
          <w:bCs/>
          <w:b/>
        </w:rPr>
        <w:t xml:space="preserve">Robustness check #10</w:t>
      </w:r>
      <w:r>
        <w:t xml:space="preserve"> </w:t>
      </w:r>
      <w:r>
        <w:t xml:space="preserve">(mới): cross-validation construct boundary, chạy Spec 2 chỉ ở 41 nước có đủ Tier 1+2 data (BREADY+ wave); confirm rằng pattern Singapore-style emerges khi có composite digital adoption metric;</w:t>
      </w:r>
      <w:r>
        <w:t xml:space="preserve"> </w:t>
      </w:r>
      <w:r>
        <w:t xml:space="preserve">-</w:t>
      </w:r>
      <w:r>
        <w:t xml:space="preserve"> </w:t>
      </w:r>
      <w:r>
        <w:rPr>
          <w:bCs/>
          <w:b/>
        </w:rPr>
        <w:t xml:space="preserve">Hạn chế minh bạch (Limitations)</w:t>
      </w:r>
      <w:r>
        <w:t xml:space="preserve">: WBES không quan sát Tier 3 (ERP/CRM) và Tier 4 (AI). Đề xuất nghiên cứu tương lai sử dụng panel data đo trực tiếp các hệ thống ERP/AI để xác định ranh giới giữa</w:t>
      </w:r>
      <w:r>
        <w:t xml:space="preserve"> </w:t>
      </w:r>
      <w:r>
        <w:t xml:space="preserve">“</w:t>
      </w:r>
      <w:r>
        <w:t xml:space="preserve">đòn bẩy</w:t>
      </w:r>
      <w:r>
        <w:t xml:space="preserve">”</w:t>
      </w:r>
      <w:r>
        <w:t xml:space="preserve"> </w:t>
      </w:r>
      <w:r>
        <w:t xml:space="preserve">(lever) và</w:t>
      </w:r>
      <w:r>
        <w:t xml:space="preserve"> </w:t>
      </w:r>
      <w:r>
        <w:t xml:space="preserve">“</w:t>
      </w:r>
      <w:r>
        <w:t xml:space="preserve">điểm nghẽn</w:t>
      </w:r>
      <w:r>
        <w:t xml:space="preserve">”</w:t>
      </w:r>
      <w:r>
        <w:t xml:space="preserve"> </w:t>
      </w:r>
      <w:r>
        <w:t xml:space="preserve">(bottleneck) của số hóa theo cấp tầng và cường độ xuất khẩu.</w:t>
      </w:r>
    </w:p>
    <w:p>
      <w:pPr>
        <w:pStyle w:val="BodyText"/>
      </w:pPr>
      <w:r>
        <w:rPr>
          <w:bCs/>
          <w:b/>
        </w:rPr>
        <w:t xml:space="preserve">Tham chiếu</w:t>
      </w:r>
      <w:r>
        <w:t xml:space="preserve">: Verhoef et al. (2021); Bharadwaj et al. (2013); Brynjolfsson &amp; McAfee (2014); Đỗ &amp; Phan (2026, phân tích Việt Nam,</w:t>
      </w:r>
      <w:r>
        <w:t xml:space="preserve"> </w:t>
      </w:r>
      <w:r>
        <w:rPr>
          <w:iCs/>
          <w:i/>
        </w:rPr>
        <w:t xml:space="preserve">APJM</w:t>
      </w:r>
      <w:r>
        <w:t xml:space="preserve">); Coase (1937); Williamson (1985); Banalieva &amp; Dhanaraj (2019).</w:t>
      </w:r>
    </w:p>
    <w:p>
      <w:r>
        <w:pict>
          <v:rect style="width:0;height:1.5pt" o:hralign="center" o:hrstd="t" o:hr="t"/>
        </w:pict>
      </w:r>
    </w:p>
    <w:bookmarkEnd w:id="37"/>
    <w:bookmarkEnd w:id="38"/>
    <w:bookmarkStart w:id="39" w:name="khung-phân-loại-6-sub-regime-icrv"/>
    <w:p>
      <w:pPr>
        <w:pStyle w:val="Heading4"/>
      </w:pPr>
      <w:r>
        <w:t xml:space="preserve">2.2.2 Khung phân loại 6 sub-regime ICRV</w:t>
      </w:r>
    </w:p>
    <w:p>
      <w:pPr>
        <w:pStyle w:val="FirstParagraph"/>
      </w:pPr>
      <w:r>
        <w:t xml:space="preserve">(§3.1–§3.5 đầy đủ với Bảng 3.1, 3.2 và logic phân nhóm con. Hàng SIDS Pacific được giữ với phần làm rõ ở §1.3 rằng đây là phần mở rộng trường hợp biên.)</w:t>
      </w:r>
    </w:p>
    <w:p>
      <w:r>
        <w:pict>
          <v:rect style="width:0;height:1.5pt" o:hralign="center" o:hrstd="t" o:hr="t"/>
        </w:pict>
      </w:r>
    </w:p>
    <w:bookmarkEnd w:id="39"/>
    <w:bookmarkStart w:id="40" w:name="Xa4cbce00f46aae4bc9fb6aeff66349c57699688"/>
    <w:p>
      <w:pPr>
        <w:pStyle w:val="Heading4"/>
      </w:pPr>
      <w:r>
        <w:t xml:space="preserve">2.2.3 Nguồn dữ liệu WBES và phương pháp mô tả-chẩn đoán</w:t>
      </w:r>
    </w:p>
    <w:p>
      <w:pPr>
        <w:pStyle w:val="FirstParagraph"/>
      </w:pPr>
      <w:r>
        <w:t xml:space="preserve">Chuyên đề khai thác dữ liệu vi mô của</w:t>
      </w:r>
      <w:r>
        <w:t xml:space="preserve"> </w:t>
      </w:r>
      <w:r>
        <w:rPr>
          <w:iCs/>
          <w:i/>
        </w:rPr>
        <w:t xml:space="preserve">World Bank Enterprise Surveys (WBES)</w:t>
      </w:r>
      <w:r>
        <w:t xml:space="preserve"> </w:t>
      </w:r>
      <w:r>
        <w:t xml:space="preserve">trên 47 nền kinh tế châu Á và Thái Bình Dương trong giai đoạn 2009-2025, với tổng cộng 101.185 quan sát doanh nghiệp trên 108 cặp quốc gia × năm và 14 mốc khảo sát. Cấu trúc dữ liệu trải qua ba thế hệ lược đồ (PICS3 2009-2013; Standardized 2014-2018; BREADY/BEE 2019-2025) và đã được hài hòa theo</w:t>
      </w:r>
      <w:r>
        <w:t xml:space="preserve"> </w:t>
      </w:r>
      <w:r>
        <w:rPr>
          <w:iCs/>
          <w:i/>
        </w:rPr>
        <w:t xml:space="preserve">WBES harmonization protocol</w:t>
      </w:r>
      <w:r>
        <w:t xml:space="preserve"> </w:t>
      </w:r>
      <w:r>
        <w:t xml:space="preserve">trình bày ở Phụ lục A của luận án. Mẫu phân tích chính của chuyên đề tập trung vào</w:t>
      </w:r>
      <w:r>
        <w:t xml:space="preserve"> </w:t>
      </w:r>
      <w:r>
        <w:rPr>
          <w:iCs/>
          <w:i/>
        </w:rPr>
        <w:t xml:space="preserve">41 nền kinh tế châu Á trong scope chính của Quyết định 4769/QĐ-ĐHCT</w:t>
      </w:r>
      <w:r>
        <w:t xml:space="preserve"> </w:t>
      </w:r>
      <w:r>
        <w:t xml:space="preserve">(~99.814 doanh nghiệp), bổ sung 7 SIDS Thái Bình Dương (n=1.371, 1,4% pool) làm</w:t>
      </w:r>
      <w:r>
        <w:t xml:space="preserve"> </w:t>
      </w:r>
      <w:r>
        <w:rPr>
          <w:iCs/>
          <w:i/>
        </w:rPr>
        <w:t xml:space="preserve">trường hợp biên mở rộng</w:t>
      </w:r>
      <w:r>
        <w:t xml:space="preserve"> </w:t>
      </w:r>
      <w:r>
        <w:t xml:space="preserve">(boundary case extension) để minh họa các pattern châu Á qua tương phản.</w:t>
      </w:r>
    </w:p>
    <w:p>
      <w:pPr>
        <w:pStyle w:val="BodyText"/>
      </w:pPr>
      <w:r>
        <w:t xml:space="preserve">Phương pháp chủ đạo là</w:t>
      </w:r>
      <w:r>
        <w:t xml:space="preserve"> </w:t>
      </w:r>
      <w:r>
        <w:rPr>
          <w:iCs/>
          <w:i/>
        </w:rPr>
        <w:t xml:space="preserve">phân tích mô tả-chẩn đoán</w:t>
      </w:r>
      <w:r>
        <w:t xml:space="preserve"> </w:t>
      </w:r>
      <w:r>
        <w:t xml:space="preserve">(descriptive-diagnostic analysis) đa chiều, không phải kiểm định nhân quả. Mục tiêu của chuyên đề là</w:t>
      </w:r>
      <w:r>
        <w:t xml:space="preserve"> </w:t>
      </w:r>
      <w:r>
        <w:rPr>
          <w:iCs/>
          <w:i/>
        </w:rPr>
        <w:t xml:space="preserve">vẽ bản đồ thực trạng</w:t>
      </w:r>
      <w:r>
        <w:t xml:space="preserve"> </w:t>
      </w:r>
      <w:r>
        <w:t xml:space="preserve">hiệu quả hoạt động kinh doanh ở 47 nền kinh tế để định hướng câu hỏi nghiên cứu cho Chuyên đề 2 và luận án, chứ không phải đưa ra ước lượng nhân quả. Hiệu quả hoạt động kinh doanh được tiếp cận theo bốn chiều: (i)</w:t>
      </w:r>
      <w:r>
        <w:t xml:space="preserve"> </w:t>
      </w:r>
      <w:r>
        <w:rPr>
          <w:iCs/>
          <w:i/>
        </w:rPr>
        <w:t xml:space="preserve">năng suất lao động</w:t>
      </w:r>
      <w:r>
        <w:t xml:space="preserve"> </w:t>
      </w:r>
      <w:r>
        <w:t xml:space="preserve">(labor productivity, đo bằng log doanh thu/lao động); (ii)</w:t>
      </w:r>
      <w:r>
        <w:t xml:space="preserve"> </w:t>
      </w:r>
      <w:r>
        <w:rPr>
          <w:iCs/>
          <w:i/>
        </w:rPr>
        <w:t xml:space="preserve">lợi nhuận và biên lợi nhuận</w:t>
      </w:r>
      <w:r>
        <w:t xml:space="preserve"> </w:t>
      </w:r>
      <w:r>
        <w:t xml:space="preserve">(profit margin, ROA proxy); (iii)</w:t>
      </w:r>
      <w:r>
        <w:t xml:space="preserve"> </w:t>
      </w:r>
      <w:r>
        <w:rPr>
          <w:iCs/>
          <w:i/>
        </w:rPr>
        <w:t xml:space="preserve">tăng trưởng</w:t>
      </w:r>
      <w:r>
        <w:t xml:space="preserve"> </w:t>
      </w:r>
      <w:r>
        <w:t xml:space="preserve">(sales growth, employment growth); và (iv)</w:t>
      </w:r>
      <w:r>
        <w:t xml:space="preserve"> </w:t>
      </w:r>
      <w:r>
        <w:rPr>
          <w:iCs/>
          <w:i/>
        </w:rPr>
        <w:t xml:space="preserve">đổi mới sáng tạo và cấu trúc doanh nghiệp</w:t>
      </w:r>
      <w:r>
        <w:t xml:space="preserve"> </w:t>
      </w:r>
      <w:r>
        <w:t xml:space="preserve">(innovation activity, formal/informal status, gender ownership). Các công cụ phân tích bao gồm: thống kê mô tả phân vị, đồ thị phân bố (boxplot, kernel density), bảng so sánh chéo theo ICRV sub-regime và theo ngành (2-digit ISIC), và phân tích hai biến (bivariate analysis) giữa hiệu quả và các yếu tố thể chế / năng lực số / đặc điểm quản trị. Phân tích đa biến (multivariate regression) và kiểm định nhân quả thuộc phạm vi của Chuyên đề 2 và luận án.</w:t>
      </w:r>
    </w:p>
    <w:bookmarkEnd w:id="40"/>
    <w:bookmarkEnd w:id="41"/>
    <w:bookmarkStart w:id="93" w:name="kết-quả-và-thảo-luận"/>
    <w:p>
      <w:pPr>
        <w:pStyle w:val="Heading3"/>
      </w:pPr>
      <w:r>
        <w:t xml:space="preserve">2.3 Kết quả và thảo luận</w:t>
      </w:r>
    </w:p>
    <w:bookmarkStart w:id="77" w:name="Xa84786746cd8ccb733bfe9392856c0a0831b320"/>
    <w:p>
      <w:pPr>
        <w:pStyle w:val="Heading4"/>
      </w:pPr>
      <w:r>
        <w:t xml:space="preserve">2.3.1 Thực trạng tổng thể hiệu quả doanh nghiệp châu Á 2009-2025</w:t>
      </w:r>
    </w:p>
    <w:bookmarkStart w:id="48" w:name="X3f3f719f88bf0ed42bff718572107a40145c645"/>
    <w:p>
      <w:pPr>
        <w:pStyle w:val="Heading5"/>
      </w:pPr>
      <w:r>
        <w:t xml:space="preserve">2.3.1.1 Nguồn dữ liệu World Bank Enterprise Surveys</w:t>
      </w:r>
    </w:p>
    <w:p>
      <w:pPr>
        <w:pStyle w:val="FirstParagraph"/>
      </w:pPr>
      <w:r>
        <w:rPr>
          <w:bCs/>
          <w:b/>
        </w:rPr>
        <w:t xml:space="preserve">Phạm vi tổng hợp dữ liệu</w:t>
      </w:r>
      <w:r>
        <w:t xml:space="preserve">. Nhóm dữ liệu (pool) gồm</w:t>
      </w:r>
      <w:r>
        <w:t xml:space="preserve"> </w:t>
      </w:r>
      <w:r>
        <w:rPr>
          <w:bCs/>
          <w:b/>
        </w:rPr>
        <w:t xml:space="preserve">101.185 doanh nghiệp</w:t>
      </w:r>
      <w:r>
        <w:t xml:space="preserve">, 47 nền kinh tế,</w:t>
      </w:r>
      <w:r>
        <w:t xml:space="preserve"> </w:t>
      </w:r>
      <w:r>
        <w:rPr>
          <w:bCs/>
          <w:b/>
        </w:rPr>
        <w:t xml:space="preserve">108 cặp quốc gia × năm</w:t>
      </w:r>
      <w:r>
        <w:t xml:space="preserve">, giai đoạn 2009–2025. Tổng hợp này kế thừa và mở rộng từ 17 nước châu Á mới nổi (~40.633 doanh nghiệp) của Đỗ &amp; Phan (2026, VEFR), gấp ~2,5 lần. Phân bố theo phân nhóm con (sub-regime) ICRV: Emerging 47.803 (47%), Frontier 28.678 (28%), Upper-middle 16.693 (17%), Advanced 6.640 (7%),</w:t>
      </w:r>
      <w:r>
        <w:t xml:space="preserve"> </w:t>
      </w:r>
      <w:r>
        <w:rPr>
          <w:bCs/>
          <w:b/>
        </w:rPr>
        <w:t xml:space="preserve">SIDS 1.371 (1,4%, gồm Kiribati 2025)</w:t>
      </w:r>
      <w:r>
        <w:t xml:space="preserve">. Có</w:t>
      </w:r>
      <w:r>
        <w:t xml:space="preserve"> </w:t>
      </w:r>
      <w:r>
        <w:rPr>
          <w:bCs/>
          <w:b/>
        </w:rPr>
        <w:t xml:space="preserve">14 đợt khảo sát năm 2025</w:t>
      </w:r>
      <w:r>
        <w:t xml:space="preserve"> </w:t>
      </w:r>
      <w:r>
        <w:t xml:space="preserve">với 17.107 doanh nghiệp.</w:t>
      </w:r>
    </w:p>
    <w:p>
      <w:pPr>
        <w:pStyle w:val="CaptionedFigure"/>
      </w:pPr>
      <w:r>
        <w:drawing>
          <wp:inline>
            <wp:extent cx="5753100" cy="3141580"/>
            <wp:effectExtent b="0" l="0" r="0" t="0"/>
            <wp:docPr descr="Hình 4.1.1, Phân bố pool 5 phân nhóm con thể chế (n=101.185 doanh nghiệp)" title="" id="43" name="Picture"/>
            <a:graphic>
              <a:graphicData uri="http://schemas.openxmlformats.org/drawingml/2006/picture">
                <pic:pic>
                  <pic:nvPicPr>
                    <pic:cNvPr descr="figures/fig_4_1_pool_composition.png" id="44" name="Picture"/>
                    <pic:cNvPicPr>
                      <a:picLocks noChangeArrowheads="1" noChangeAspect="1"/>
                    </pic:cNvPicPr>
                  </pic:nvPicPr>
                  <pic:blipFill>
                    <a:blip r:embed="rId42"/>
                    <a:stretch>
                      <a:fillRect/>
                    </a:stretch>
                  </pic:blipFill>
                  <pic:spPr bwMode="auto">
                    <a:xfrm>
                      <a:off x="0" y="0"/>
                      <a:ext cx="5753100" cy="3141580"/>
                    </a:xfrm>
                    <a:prstGeom prst="rect">
                      <a:avLst/>
                    </a:prstGeom>
                    <a:noFill/>
                    <a:ln w="9525">
                      <a:noFill/>
                      <a:headEnd/>
                      <a:tailEnd/>
                    </a:ln>
                  </pic:spPr>
                </pic:pic>
              </a:graphicData>
            </a:graphic>
          </wp:inline>
        </w:drawing>
      </w:r>
    </w:p>
    <w:p>
      <w:pPr>
        <w:pStyle w:val="ImageCaption"/>
      </w:pPr>
      <w:r>
        <w:t xml:space="preserve">Hình 4.1.1, Phân bố pool 5 phân nhóm con thể chế (n=101.185 doanh nghiệp)</w:t>
      </w:r>
    </w:p>
    <w:p>
      <w:pPr>
        <w:pStyle w:val="BodyText"/>
      </w:pPr>
      <w:r>
        <w:rPr>
          <w:iCs/>
          <w:i/>
        </w:rPr>
        <w:t xml:space="preserve">Hình 4.1.1. Bar chart phân bố theo 5 phân nhóm con: Emerging (47.803, 47,2%), Frontier (28.678, 28,3%), Upper-middle (16.693, 16,5%), Advanced (6.640, 6,6%), SIDS Thái Bình Dương (1.371, 1,4%, gồm Kiribati 2025). Tái lập:</w:t>
      </w:r>
      <w:r>
        <w:rPr>
          <w:iCs/>
          <w:i/>
        </w:rPr>
        <w:t xml:space="preserve"> </w:t>
      </w:r>
      <w:r>
        <w:rPr>
          <w:rStyle w:val="VerbatimChar"/>
          <w:iCs/>
          <w:i/>
        </w:rPr>
        <w:t xml:space="preserve">thesis/figures/generate_figures.py</w:t>
      </w:r>
      <w:r>
        <w:rPr>
          <w:iCs/>
          <w:i/>
        </w:rPr>
        <w:t xml:space="preserve"> </w:t>
      </w:r>
      <w:r>
        <w:rPr>
          <w:iCs/>
          <w:i/>
        </w:rPr>
        <w:t xml:space="preserve">function</w:t>
      </w:r>
      <w:r>
        <w:rPr>
          <w:iCs/>
          <w:i/>
        </w:rPr>
        <w:t xml:space="preserve"> </w:t>
      </w:r>
      <w:r>
        <w:rPr>
          <w:rStyle w:val="VerbatimChar"/>
          <w:iCs/>
          <w:i/>
        </w:rPr>
        <w:t xml:space="preserve">fig_4_1_pool_composition()</w:t>
      </w:r>
      <w:r>
        <w:rPr>
          <w:iCs/>
          <w:i/>
        </w:rPr>
        <w:t xml:space="preserve">.</w:t>
      </w:r>
    </w:p>
    <w:p>
      <w:pPr>
        <w:pStyle w:val="CaptionedFigure"/>
      </w:pPr>
      <w:r>
        <w:drawing>
          <wp:inline>
            <wp:extent cx="5753100" cy="2577276"/>
            <wp:effectExtent b="0" l="0" r="0" t="0"/>
            <wp:docPr descr="Hình 4.0, Phân bố mẫu 101.185 doanh nghiệp xuyên 17 năm (2009–2025) theo 3 thế hệ schema WBES" title="" id="46" name="Picture"/>
            <a:graphic>
              <a:graphicData uri="http://schemas.openxmlformats.org/drawingml/2006/picture">
                <pic:pic>
                  <pic:nvPicPr>
                    <pic:cNvPr descr="figures/fig_4_0_pool_by_year.png" id="47" name="Picture"/>
                    <pic:cNvPicPr>
                      <a:picLocks noChangeArrowheads="1" noChangeAspect="1"/>
                    </pic:cNvPicPr>
                  </pic:nvPicPr>
                  <pic:blipFill>
                    <a:blip r:embed="rId45"/>
                    <a:stretch>
                      <a:fillRect/>
                    </a:stretch>
                  </pic:blipFill>
                  <pic:spPr bwMode="auto">
                    <a:xfrm>
                      <a:off x="0" y="0"/>
                      <a:ext cx="5753100" cy="2577276"/>
                    </a:xfrm>
                    <a:prstGeom prst="rect">
                      <a:avLst/>
                    </a:prstGeom>
                    <a:noFill/>
                    <a:ln w="9525">
                      <a:noFill/>
                      <a:headEnd/>
                      <a:tailEnd/>
                    </a:ln>
                  </pic:spPr>
                </pic:pic>
              </a:graphicData>
            </a:graphic>
          </wp:inline>
        </w:drawing>
      </w:r>
    </w:p>
    <w:p>
      <w:pPr>
        <w:pStyle w:val="ImageCaption"/>
      </w:pPr>
      <w:r>
        <w:t xml:space="preserve">Hình 4.0, Phân bố mẫu 101.185 doanh nghiệp xuyên 17 năm (2009–2025) theo 3 thế hệ schema WBES</w:t>
      </w:r>
    </w:p>
    <w:p>
      <w:pPr>
        <w:pStyle w:val="BodyText"/>
      </w:pPr>
      <w:r>
        <w:rPr>
          <w:iCs/>
          <w:i/>
        </w:rPr>
        <w:t xml:space="preserve">Hình 4.0. Phân bố mẫu doanh nghiệp xuyên 17 năm theo 3 thế hệ schema WBES: PICS3 (2009-2012, n=14.171), Standardized (2013-2017, n=24.564), BREADY (2018-2025, n=62.450 gồm Kiribati 2025). Đợt 2025 đột biến với 17.107 doanh nghiệp = 16,9% pool — đợt khảo sát đơn năm lớn nhất.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fig_4_0_pool_by_year()</w:t>
      </w:r>
      <w:r>
        <w:rPr>
          <w:iCs/>
          <w:i/>
        </w:rPr>
        <w:t xml:space="preserve">.</w:t>
      </w:r>
    </w:p>
    <w:p>
      <w:pPr>
        <w:pStyle w:val="BodyText"/>
      </w:pPr>
      <w:r>
        <w:rPr>
          <w:bCs/>
          <w:b/>
        </w:rPr>
        <w:t xml:space="preserve">Trường hợp biên (boundary cases)</w:t>
      </w:r>
      <w:r>
        <w:t xml:space="preserve">:</w:t>
      </w:r>
      <w:r>
        <w:t xml:space="preserve"> </w:t>
      </w:r>
      <w:r>
        <w:rPr>
          <w:bCs/>
          <w:b/>
        </w:rPr>
        <w:t xml:space="preserve">7 SIDS Thái Bình Dương đầy đủ (FJI, PNG, SLB, TON, VUT, WSM, KIR)</w:t>
      </w:r>
      <w:r>
        <w:t xml:space="preserve"> </w:t>
      </w:r>
      <w:r>
        <w:t xml:space="preserve">+ Tây Á 9 nước. Phân bố thời gian: 2009–2012 (n=14.171), 2013–2017 (n=24.564), 2018–2025 (n=62.450, chiếm 62%). Ba thế hệ khung dữ liệu (schema): PICS3/MENA-WBES, Standardized, Standardized2018+/BREADY.</w:t>
      </w:r>
    </w:p>
    <w:p>
      <w:pPr>
        <w:pStyle w:val="BodyText"/>
      </w:pPr>
      <w:r>
        <w:rPr>
          <w:bCs/>
          <w:b/>
        </w:rPr>
        <w:t xml:space="preserve">Hài hòa</w:t>
      </w:r>
      <w:r>
        <w:t xml:space="preserve">. Pipeline Python (</w:t>
      </w:r>
      <w:r>
        <w:rPr>
          <w:rStyle w:val="VerbatimChar"/>
        </w:rPr>
        <w:t xml:space="preserve">wbes/02_harmonize.py</w:t>
      </w:r>
      <w:r>
        <w:t xml:space="preserve">); FSTS =</w:t>
      </w:r>
      <w:r>
        <w:t xml:space="preserve"> </w:t>
      </w:r>
      <w:r>
        <w:rPr>
          <w:rStyle w:val="VerbatimChar"/>
        </w:rPr>
        <w:t xml:space="preserve">d3b + d3c</w:t>
      </w:r>
      <w:r>
        <w:t xml:space="preserve">; giới hạn cực trị (winsorize) log năng suất ở mức 1/99 phân vị trong cụm quốc gia × năm. Doanh thu chưa quy đổi sang USD PPP.</w:t>
      </w:r>
    </w:p>
    <w:bookmarkEnd w:id="48"/>
    <w:bookmarkStart w:id="52" w:name="Xdd19b3ee5869884c11531c8fa1248eb07b4817a"/>
    <w:p>
      <w:pPr>
        <w:pStyle w:val="Heading5"/>
      </w:pPr>
      <w:r>
        <w:t xml:space="preserve">2.3.1.2 Thực trạng năng suất lao động — phân tán trong từng quốc gia</w:t>
      </w:r>
    </w:p>
    <w:p>
      <w:pPr>
        <w:pStyle w:val="FirstParagraph"/>
      </w:pPr>
      <w:r>
        <w:rPr>
          <w:bCs/>
          <w:b/>
        </w:rPr>
        <w:t xml:space="preserve">Bảng 4.1</w:t>
      </w:r>
      <w:r>
        <w:t xml:space="preserve">.</w:t>
      </w:r>
      <w:r>
        <w:t xml:space="preserve"> </w:t>
      </w:r>
      <w:r>
        <w:rPr>
          <w:iCs/>
          <w:i/>
        </w:rPr>
        <w:t xml:space="preserve">Phân tán (dispersion) năng suất lao động theo phân nhóm con thể chế (mẫu phụ đủ dữ liệu năng suất, productivity-complete subset).</w:t>
      </w:r>
    </w:p>
    <w:p>
      <w:pPr>
        <w:pStyle w:val="BlockText"/>
      </w:pPr>
      <w:r>
        <w:rPr>
          <w:bCs/>
          <w:b/>
        </w:rPr>
        <w:t xml:space="preserve">Ghi chú đầu bảng (header note)</w:t>
      </w:r>
      <w:r>
        <w:t xml:space="preserve">: Cột</w:t>
      </w:r>
      <w:r>
        <w:t xml:space="preserve"> </w:t>
      </w:r>
      <w:r>
        <w:rPr>
          <w:rStyle w:val="VerbatimChar"/>
        </w:rPr>
        <w:t xml:space="preserve">n_firms</w:t>
      </w:r>
      <w:r>
        <w:t xml:space="preserve"> </w:t>
      </w:r>
      <w:r>
        <w:t xml:space="preserve">ở Bảng 4.1 là</w:t>
      </w:r>
      <w:r>
        <w:t xml:space="preserve"> </w:t>
      </w:r>
      <w:r>
        <w:rPr>
          <w:bCs/>
          <w:b/>
        </w:rPr>
        <w:t xml:space="preserve">số doanh nghiệp có đầy đủ dữ liệu log năng suất</w:t>
      </w:r>
      <w:r>
        <w:t xml:space="preserve"> </w:t>
      </w:r>
      <w:r>
        <w:t xml:space="preserve">(productivity-complete subset, n=86.457), khác với</w:t>
      </w:r>
      <w:r>
        <w:t xml:space="preserve"> </w:t>
      </w:r>
      <w:r>
        <w:rPr>
          <w:bCs/>
          <w:b/>
        </w:rPr>
        <w:t xml:space="preserve">tổng pool mô tả là 101.185 doanh nghiệp</w:t>
      </w:r>
      <w:r>
        <w:t xml:space="preserve"> </w:t>
      </w:r>
      <w:r>
        <w:t xml:space="preserve">(Mục 4.1, dùng cho các thống kê không đòi hỏi biến năng suất). Tương tự, cột</w:t>
      </w:r>
      <w:r>
        <w:t xml:space="preserve"> </w:t>
      </w:r>
      <w:r>
        <w:rPr>
          <w:rStyle w:val="VerbatimChar"/>
        </w:rPr>
        <w:t xml:space="preserve">Cặp QG×năm</w:t>
      </w:r>
      <w:r>
        <w:t xml:space="preserve"> </w:t>
      </w:r>
      <w:r>
        <w:t xml:space="preserve">ở đây đếm số cặp quốc gia × năm còn lại sau khi loại các cặp không đủ quan sát để ước lượng phân tán năng suất, nên cộng bằng</w:t>
      </w:r>
      <w:r>
        <w:t xml:space="preserve"> </w:t>
      </w:r>
      <w:r>
        <w:rPr>
          <w:bCs/>
          <w:b/>
        </w:rPr>
        <w:t xml:space="preserve">103 cặp</w:t>
      </w:r>
      <w:r>
        <w:t xml:space="preserve"> </w:t>
      </w:r>
      <w:r>
        <w:t xml:space="preserve">chứ không phải 108 cặp của tổng pool.</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Cặp QG×năm</w:t>
            </w:r>
          </w:p>
        </w:tc>
        <w:tc>
          <w:tcPr/>
          <w:p>
            <w:pPr>
              <w:pStyle w:val="Compact"/>
              <w:jc w:val="left"/>
            </w:pPr>
            <w:r>
              <w:t xml:space="preserve">n_firms</w:t>
            </w:r>
          </w:p>
        </w:tc>
        <w:tc>
          <w:tcPr/>
          <w:p>
            <w:pPr>
              <w:pStyle w:val="Compact"/>
              <w:jc w:val="left"/>
            </w:pPr>
            <w:r>
              <w:t xml:space="preserve">sd log</w:t>
            </w:r>
          </w:p>
        </w:tc>
        <w:tc>
          <w:tcPr/>
          <w:p>
            <w:pPr>
              <w:pStyle w:val="Compact"/>
              <w:jc w:val="left"/>
            </w:pPr>
            <w:r>
              <w:t xml:space="preserve">P90/P10</w:t>
            </w:r>
          </w:p>
        </w:tc>
        <w:tc>
          <w:tcPr/>
          <w:p>
            <w:pPr>
              <w:pStyle w:val="Compact"/>
              <w:jc w:val="left"/>
            </w:pPr>
            <w:r>
              <w:t xml:space="preserve">P75/P25</w:t>
            </w:r>
          </w:p>
        </w:tc>
      </w:tr>
      <w:tr>
        <w:tc>
          <w:tcPr/>
          <w:p>
            <w:pPr>
              <w:pStyle w:val="Compact"/>
              <w:jc w:val="left"/>
            </w:pPr>
            <w:r>
              <w:rPr>
                <w:bCs/>
                <w:b/>
              </w:rPr>
              <w:t xml:space="preserve">Advanced — innovation-driven</w:t>
            </w:r>
            <w:r>
              <w:t xml:space="preserve"> </w:t>
            </w:r>
            <w:r>
              <w:rPr>
                <w:iCs/>
                <w:i/>
              </w:rPr>
              <w:t xml:space="preserve">(SG, HK, KOR, TWN, ISR)</w:t>
            </w:r>
          </w:p>
        </w:tc>
        <w:tc>
          <w:tcPr/>
          <w:p>
            <w:pPr>
              <w:pStyle w:val="Compact"/>
              <w:jc w:val="left"/>
            </w:pPr>
            <w:r>
              <w:t xml:space="preserve">~8</w:t>
            </w:r>
          </w:p>
        </w:tc>
        <w:tc>
          <w:tcPr/>
          <w:p>
            <w:pPr>
              <w:pStyle w:val="Compact"/>
              <w:jc w:val="left"/>
            </w:pPr>
            <w:r>
              <w:t xml:space="preserve">~4.220</w:t>
            </w:r>
          </w:p>
        </w:tc>
        <w:tc>
          <w:tcPr/>
          <w:p>
            <w:pPr>
              <w:pStyle w:val="Compact"/>
              <w:jc w:val="left"/>
            </w:pPr>
            <w:r>
              <w:rPr>
                <w:bCs/>
                <w:b/>
              </w:rPr>
              <w:t xml:space="preserve">1,03</w:t>
            </w:r>
          </w:p>
        </w:tc>
        <w:tc>
          <w:tcPr/>
          <w:p>
            <w:pPr>
              <w:pStyle w:val="Compact"/>
              <w:jc w:val="left"/>
            </w:pPr>
            <w:r>
              <w:t xml:space="preserve">(cập nhật GĐ1)</w:t>
            </w:r>
          </w:p>
        </w:tc>
        <w:tc>
          <w:tcPr/>
          <w:p>
            <w:pPr>
              <w:pStyle w:val="Compact"/>
              <w:jc w:val="left"/>
            </w:pPr>
            <w:r>
              <w:t xml:space="preserve">(cập nhật GĐ1)</w:t>
            </w:r>
          </w:p>
        </w:tc>
      </w:tr>
      <w:tr>
        <w:tc>
          <w:tcPr/>
          <w:p>
            <w:pPr>
              <w:pStyle w:val="Compact"/>
              <w:jc w:val="left"/>
            </w:pPr>
            <w:r>
              <w:rPr>
                <w:bCs/>
                <w:b/>
              </w:rPr>
              <w:t xml:space="preserve">Advanced — resource-driven</w:t>
            </w:r>
            <w:r>
              <w:t xml:space="preserve"> </w:t>
            </w:r>
            <w:r>
              <w:rPr>
                <w:iCs/>
                <w:i/>
              </w:rPr>
              <w:t xml:space="preserve">(SAU, QAT, KWT, BHR, BRN)</w:t>
            </w:r>
          </w:p>
        </w:tc>
        <w:tc>
          <w:tcPr/>
          <w:p>
            <w:pPr>
              <w:pStyle w:val="Compact"/>
              <w:jc w:val="left"/>
            </w:pPr>
            <w:r>
              <w:t xml:space="preserve">~5</w:t>
            </w:r>
          </w:p>
        </w:tc>
        <w:tc>
          <w:tcPr/>
          <w:p>
            <w:pPr>
              <w:pStyle w:val="Compact"/>
              <w:jc w:val="left"/>
            </w:pPr>
            <w:r>
              <w:t xml:space="preserve">~1.932</w:t>
            </w:r>
          </w:p>
        </w:tc>
        <w:tc>
          <w:tcPr/>
          <w:p>
            <w:pPr>
              <w:pStyle w:val="Compact"/>
              <w:jc w:val="left"/>
            </w:pPr>
            <w:r>
              <w:rPr>
                <w:bCs/>
                <w:b/>
              </w:rPr>
              <w:t xml:space="preserve">0,49</w:t>
            </w:r>
          </w:p>
        </w:tc>
        <w:tc>
          <w:tcPr/>
          <w:p>
            <w:pPr>
              <w:pStyle w:val="Compact"/>
              <w:jc w:val="left"/>
            </w:pPr>
            <w:r>
              <w:t xml:space="preserve">(cập nhật GĐ1)</w:t>
            </w:r>
          </w:p>
        </w:tc>
        <w:tc>
          <w:tcPr/>
          <w:p>
            <w:pPr>
              <w:pStyle w:val="Compact"/>
              <w:jc w:val="left"/>
            </w:pPr>
            <w:r>
              <w:t xml:space="preserve">(cập nhật GĐ1)</w:t>
            </w:r>
          </w:p>
        </w:tc>
      </w:tr>
      <w:tr>
        <w:tc>
          <w:tcPr/>
          <w:p>
            <w:pPr>
              <w:pStyle w:val="Compact"/>
              <w:jc w:val="left"/>
            </w:pPr>
            <w:r>
              <w:rPr>
                <w:iCs/>
                <w:i/>
              </w:rPr>
              <w:t xml:space="preserve">Advanced (gộp — tham chiếu)</w:t>
            </w:r>
          </w:p>
        </w:tc>
        <w:tc>
          <w:tcPr/>
          <w:p>
            <w:pPr>
              <w:pStyle w:val="Compact"/>
              <w:jc w:val="left"/>
            </w:pPr>
            <w:r>
              <w:t xml:space="preserve">13</w:t>
            </w:r>
          </w:p>
        </w:tc>
        <w:tc>
          <w:tcPr/>
          <w:p>
            <w:pPr>
              <w:pStyle w:val="Compact"/>
              <w:jc w:val="left"/>
            </w:pPr>
            <w:r>
              <w:t xml:space="preserve">5.921</w:t>
            </w:r>
          </w:p>
        </w:tc>
        <w:tc>
          <w:tcPr/>
          <w:p>
            <w:pPr>
              <w:pStyle w:val="Compact"/>
              <w:jc w:val="left"/>
            </w:pPr>
            <w:r>
              <w:t xml:space="preserve">0,86</w:t>
            </w:r>
          </w:p>
        </w:tc>
        <w:tc>
          <w:tcPr/>
          <w:p>
            <w:pPr>
              <w:pStyle w:val="Compact"/>
              <w:jc w:val="left"/>
            </w:pPr>
            <w:r>
              <w:t xml:space="preserve">10,8</w:t>
            </w:r>
          </w:p>
        </w:tc>
        <w:tc>
          <w:tcPr/>
          <w:p>
            <w:pPr>
              <w:pStyle w:val="Compact"/>
              <w:jc w:val="left"/>
            </w:pPr>
            <w:r>
              <w:t xml:space="preserve">3,1</w:t>
            </w:r>
          </w:p>
        </w:tc>
      </w:tr>
      <w:tr>
        <w:tc>
          <w:tcPr/>
          <w:p>
            <w:pPr>
              <w:pStyle w:val="Compact"/>
              <w:jc w:val="left"/>
            </w:pPr>
            <w:r>
              <w:t xml:space="preserve">Upper-middle</w:t>
            </w:r>
          </w:p>
        </w:tc>
        <w:tc>
          <w:tcPr/>
          <w:p>
            <w:pPr>
              <w:pStyle w:val="Compact"/>
              <w:jc w:val="left"/>
            </w:pPr>
            <w:r>
              <w:t xml:space="preserve">18</w:t>
            </w:r>
          </w:p>
        </w:tc>
        <w:tc>
          <w:tcPr/>
          <w:p>
            <w:pPr>
              <w:pStyle w:val="Compact"/>
              <w:jc w:val="left"/>
            </w:pPr>
            <w:r>
              <w:t xml:space="preserve">15.174</w:t>
            </w:r>
          </w:p>
        </w:tc>
        <w:tc>
          <w:tcPr/>
          <w:p>
            <w:pPr>
              <w:pStyle w:val="Compact"/>
              <w:jc w:val="left"/>
            </w:pPr>
            <w:r>
              <w:t xml:space="preserve">1,29</w:t>
            </w:r>
          </w:p>
        </w:tc>
        <w:tc>
          <w:tcPr/>
          <w:p>
            <w:pPr>
              <w:pStyle w:val="Compact"/>
              <w:jc w:val="left"/>
            </w:pPr>
            <w:r>
              <w:t xml:space="preserve">27,7</w:t>
            </w:r>
          </w:p>
        </w:tc>
        <w:tc>
          <w:tcPr/>
          <w:p>
            <w:pPr>
              <w:pStyle w:val="Compact"/>
              <w:jc w:val="left"/>
            </w:pPr>
            <w:r>
              <w:t xml:space="preserve">5,4</w:t>
            </w:r>
          </w:p>
        </w:tc>
      </w:tr>
      <w:tr>
        <w:tc>
          <w:tcPr/>
          <w:p>
            <w:pPr>
              <w:pStyle w:val="Compact"/>
              <w:jc w:val="left"/>
            </w:pPr>
            <w:r>
              <w:t xml:space="preserve">Emerging</w:t>
            </w:r>
          </w:p>
        </w:tc>
        <w:tc>
          <w:tcPr/>
          <w:p>
            <w:pPr>
              <w:pStyle w:val="Compact"/>
              <w:jc w:val="left"/>
            </w:pPr>
            <w:r>
              <w:t xml:space="preserve">20</w:t>
            </w:r>
          </w:p>
        </w:tc>
        <w:tc>
          <w:tcPr/>
          <w:p>
            <w:pPr>
              <w:pStyle w:val="Compact"/>
              <w:jc w:val="left"/>
            </w:pPr>
            <w:r>
              <w:t xml:space="preserve">45.388</w:t>
            </w:r>
          </w:p>
        </w:tc>
        <w:tc>
          <w:tcPr/>
          <w:p>
            <w:pPr>
              <w:pStyle w:val="Compact"/>
              <w:jc w:val="left"/>
            </w:pPr>
            <w:r>
              <w:t xml:space="preserve">1,24</w:t>
            </w:r>
          </w:p>
        </w:tc>
        <w:tc>
          <w:tcPr/>
          <w:p>
            <w:pPr>
              <w:pStyle w:val="Compact"/>
              <w:jc w:val="left"/>
            </w:pPr>
            <w:r>
              <w:t xml:space="preserve">30,6</w:t>
            </w:r>
          </w:p>
        </w:tc>
        <w:tc>
          <w:tcPr/>
          <w:p>
            <w:pPr>
              <w:pStyle w:val="Compact"/>
              <w:jc w:val="left"/>
            </w:pPr>
            <w:r>
              <w:t xml:space="preserve">5,1</w:t>
            </w:r>
          </w:p>
        </w:tc>
      </w:tr>
      <w:tr>
        <w:tc>
          <w:tcPr/>
          <w:p>
            <w:pPr>
              <w:pStyle w:val="Compact"/>
              <w:jc w:val="left"/>
            </w:pPr>
            <w:r>
              <w:t xml:space="preserve">Frontier</w:t>
            </w:r>
          </w:p>
        </w:tc>
        <w:tc>
          <w:tcPr/>
          <w:p>
            <w:pPr>
              <w:pStyle w:val="Compact"/>
              <w:jc w:val="left"/>
            </w:pPr>
            <w:r>
              <w:t xml:space="preserve">42</w:t>
            </w:r>
          </w:p>
        </w:tc>
        <w:tc>
          <w:tcPr/>
          <w:p>
            <w:pPr>
              <w:pStyle w:val="Compact"/>
              <w:jc w:val="left"/>
            </w:pPr>
            <w:r>
              <w:t xml:space="preserve">18.877</w:t>
            </w:r>
          </w:p>
        </w:tc>
        <w:tc>
          <w:tcPr/>
          <w:p>
            <w:pPr>
              <w:pStyle w:val="Compact"/>
              <w:jc w:val="left"/>
            </w:pPr>
            <w:r>
              <w:t xml:space="preserve">1,36</w:t>
            </w:r>
          </w:p>
        </w:tc>
        <w:tc>
          <w:tcPr/>
          <w:p>
            <w:pPr>
              <w:pStyle w:val="Compact"/>
              <w:jc w:val="left"/>
            </w:pPr>
            <w:r>
              <w:t xml:space="preserve">39,6</w:t>
            </w:r>
          </w:p>
        </w:tc>
        <w:tc>
          <w:tcPr/>
          <w:p>
            <w:pPr>
              <w:pStyle w:val="Compact"/>
              <w:jc w:val="left"/>
            </w:pPr>
            <w:r>
              <w:t xml:space="preserve">6,1</w:t>
            </w:r>
          </w:p>
        </w:tc>
      </w:tr>
      <w:tr>
        <w:tc>
          <w:tcPr/>
          <w:p>
            <w:pPr>
              <w:pStyle w:val="Compact"/>
              <w:jc w:val="left"/>
            </w:pPr>
            <w:r>
              <w:rPr>
                <w:bCs/>
                <w:b/>
              </w:rPr>
              <w:t xml:space="preserve">SIDS Thái Bình Dương (gồm Kiribati 2025)</w:t>
            </w:r>
          </w:p>
        </w:tc>
        <w:tc>
          <w:tcPr/>
          <w:p>
            <w:pPr>
              <w:pStyle w:val="Compact"/>
              <w:jc w:val="left"/>
            </w:pPr>
            <w:r>
              <w:rPr>
                <w:bCs/>
                <w:b/>
              </w:rPr>
              <w:t xml:space="preserve">10</w:t>
            </w:r>
          </w:p>
        </w:tc>
        <w:tc>
          <w:tcPr/>
          <w:p>
            <w:pPr>
              <w:pStyle w:val="Compact"/>
              <w:jc w:val="left"/>
            </w:pPr>
            <w:r>
              <w:rPr>
                <w:bCs/>
                <w:b/>
              </w:rPr>
              <w:t xml:space="preserve">1.097</w:t>
            </w:r>
          </w:p>
        </w:tc>
        <w:tc>
          <w:tcPr/>
          <w:p>
            <w:pPr>
              <w:pStyle w:val="Compact"/>
              <w:jc w:val="left"/>
            </w:pPr>
            <w:r>
              <w:rPr>
                <w:bCs/>
                <w:b/>
              </w:rPr>
              <w:t xml:space="preserve">1,32</w:t>
            </w:r>
          </w:p>
        </w:tc>
        <w:tc>
          <w:tcPr/>
          <w:p>
            <w:pPr>
              <w:pStyle w:val="Compact"/>
              <w:jc w:val="left"/>
            </w:pPr>
            <w:r>
              <w:t xml:space="preserve">(cập nhật GĐ1)</w:t>
            </w:r>
          </w:p>
        </w:tc>
        <w:tc>
          <w:tcPr/>
          <w:p>
            <w:pPr>
              <w:pStyle w:val="Compact"/>
              <w:jc w:val="left"/>
            </w:pPr>
            <w:r>
              <w:t xml:space="preserve">(cập nhật GĐ1)</w:t>
            </w:r>
          </w:p>
        </w:tc>
      </w:tr>
    </w:tbl>
    <w:p>
      <w:pPr>
        <w:pStyle w:val="BodyText"/>
      </w:pPr>
      <w:r>
        <w:rPr>
          <w:iCs/>
          <w:i/>
        </w:rPr>
        <w:t xml:space="preserve">Ghi chú: Advanced tách 2 phân nhóm con, tỷ số phân tán Singapore (1,03) so với Vùng Vịnh (0,49) ≈</w:t>
      </w:r>
      <w:r>
        <w:rPr>
          <w:iCs/>
          <w:i/>
        </w:rPr>
        <w:t xml:space="preserve"> </w:t>
      </w:r>
      <w:r>
        <w:rPr>
          <w:bCs/>
          <w:b/>
          <w:iCs/>
          <w:i/>
        </w:rPr>
        <w:t xml:space="preserve">2,1 lần</w:t>
      </w:r>
      <w:r>
        <w:rPr>
          <w:iCs/>
          <w:i/>
        </w:rPr>
        <w:t xml:space="preserve">. SIDS row gồm Kiribati 2025 (n=150, sd log 1,48).</w:t>
      </w:r>
    </w:p>
    <w:p>
      <w:pPr>
        <w:pStyle w:val="BodyText"/>
      </w:pPr>
      <w:r>
        <w:rPr>
          <w:iCs/>
          <w:i/>
        </w:rPr>
        <w:t xml:space="preserve">Ghi chú đối chiếu n_firms (Bảng 4.1 vs Mục 4.1)</w:t>
      </w:r>
      <w:r>
        <w:t xml:space="preserve">: Chênh lệch giữa tổng pool mô tả (101.185) và mẫu phụ đủ dữ liệu năng suất (86.457, ≈ −14,6%) là hệ quả của ràng buộc khả dụng đồng thời ba biến cấu thành log năng suất (doanh thu, số lao động, năm tham chiếu). Mức loại bỏ không đồng đều giữa các phân nhóm con: Advanced −10,8%, Upper-middle −9,1%, Emerging −5,1%, SIDS −20,0%, và</w:t>
      </w:r>
      <w:r>
        <w:t xml:space="preserve"> </w:t>
      </w:r>
      <w:r>
        <w:rPr>
          <w:bCs/>
          <w:b/>
        </w:rPr>
        <w:t xml:space="preserve">Frontier mất nhiều nhất (−34,2%, từ 28.678 còn 18.877)</w:t>
      </w:r>
      <w:r>
        <w:t xml:space="preserve">. Tỷ lệ loại bỏ Frontier cao bất thường vì nhóm này tập hợp các nền kinh tế dùng schema PICS3/MENA-WBES cũ (2009–2012) cùng các vùng xung đột (Afghanistan, Yemen, Iraq) nơi câu hỏi doanh thu (</w:t>
      </w:r>
      <w:r>
        <w:rPr>
          <w:rStyle w:val="VerbatimChar"/>
        </w:rPr>
        <w:t xml:space="preserve">d2</w:t>
      </w:r>
      <w:r>
        <w:t xml:space="preserve">) và số lao động (</w:t>
      </w:r>
      <w:r>
        <w:rPr>
          <w:rStyle w:val="VerbatimChar"/>
        </w:rPr>
        <w:t xml:space="preserve">l1</w:t>
      </w:r>
      <w:r>
        <w:t xml:space="preserve">) có tỷ lệ khuyết và từ chối trả lời cao, đồng thời nhiều doanh nghiệp Frontier chỉ khai báo biến mô tả (website, FDI) mà bỏ trống biến tài chính cần để dựng log năng suất. Vì vậy các trị số mô tả không đòi hỏi năng suất (FSTS, website, đổi mới ở Bảng 4.3–4.6) vẫn dùng tổng pool 101.185, còn các trị số phân tán năng suất (Bảng 4.1) dùng mẫu phụ 86.457; hai con số phục vụ hai mục đích khác nhau và không mâu thuẫn.</w:t>
      </w:r>
    </w:p>
    <w:p>
      <w:pPr>
        <w:pStyle w:val="CaptionedFigure"/>
      </w:pPr>
      <w:r>
        <w:drawing>
          <wp:inline>
            <wp:extent cx="5753100" cy="3401496"/>
            <wp:effectExtent b="0" l="0" r="0" t="0"/>
            <wp:docPr descr="Hình 4.2, Phân phối năng suất theo 6 phân nhóm con (kernel density, n=101.185)" title="" id="50" name="Picture"/>
            <a:graphic>
              <a:graphicData uri="http://schemas.openxmlformats.org/drawingml/2006/picture">
                <pic:pic>
                  <pic:nvPicPr>
                    <pic:cNvPr descr="figures/fig_4_2_productivity_density.png" id="51" name="Picture"/>
                    <pic:cNvPicPr>
                      <a:picLocks noChangeArrowheads="1" noChangeAspect="1"/>
                    </pic:cNvPicPr>
                  </pic:nvPicPr>
                  <pic:blipFill>
                    <a:blip r:embed="rId49"/>
                    <a:stretch>
                      <a:fillRect/>
                    </a:stretch>
                  </pic:blipFill>
                  <pic:spPr bwMode="auto">
                    <a:xfrm>
                      <a:off x="0" y="0"/>
                      <a:ext cx="5753100" cy="3401496"/>
                    </a:xfrm>
                    <a:prstGeom prst="rect">
                      <a:avLst/>
                    </a:prstGeom>
                    <a:noFill/>
                    <a:ln w="9525">
                      <a:noFill/>
                      <a:headEnd/>
                      <a:tailEnd/>
                    </a:ln>
                  </pic:spPr>
                </pic:pic>
              </a:graphicData>
            </a:graphic>
          </wp:inline>
        </w:drawing>
      </w:r>
    </w:p>
    <w:p>
      <w:pPr>
        <w:pStyle w:val="ImageCaption"/>
      </w:pPr>
      <w:r>
        <w:t xml:space="preserve">Hình 4.2, Phân phối năng suất theo 6 phân nhóm con (kernel density, n=101.185)</w:t>
      </w:r>
    </w:p>
    <w:p>
      <w:pPr>
        <w:pStyle w:val="BodyText"/>
      </w:pPr>
      <w:r>
        <w:rPr>
          <w:iCs/>
          <w:i/>
        </w:rPr>
        <w:t xml:space="preserve">Hình 4.2. Đồ thị mật độ kernel cho 6 phân nhóm con: Advanced innovation (sd 1,03), Advanced resource (sd 0,49), Upper-middle (1,29), Emerging (1,24), Frontier (1,36), SIDS (1,32). Phân nhóm tài nguyên dẫn dắt (Vùng Vịnh) phân tán hẹp nhất; Frontier rộng nhất.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fig_4_2_productivity_density()</w:t>
      </w:r>
      <w:r>
        <w:rPr>
          <w:iCs/>
          <w:i/>
        </w:rPr>
        <w:t xml:space="preserve">.</w:t>
      </w:r>
    </w:p>
    <w:p>
      <w:pPr>
        <w:pStyle w:val="BodyText"/>
      </w:pPr>
      <w:r>
        <w:t xml:space="preserve">5 phát hiện: (1) Phân tán Advanced gộp giảm từ 1,00 → 0,86 sau khi bổ sung Vùng Vịnh, là bằng chứng dị biệt nội bộ; (2) Frontier cao nhất, phù hợp</w:t>
      </w:r>
      <w:r>
        <w:t xml:space="preserve"> </w:t>
      </w:r>
      <w:r>
        <w:rPr>
          <w:bCs/>
          <w:b/>
        </w:rPr>
        <w:t xml:space="preserve">giả thuyết phân bổ sai nguồn lực (misallocation hypothesis)</w:t>
      </w:r>
      <w:r>
        <w:t xml:space="preserve"> </w:t>
      </w:r>
      <w:r>
        <w:t xml:space="preserve">Hsieh &amp; Klenow (2009, 2014); (3) SIDS ở mức trung bình ~1,32; (4) tỷ số P90/P10 tăng đơn điệu theo phân nhóm con; (5) bằng chứng cho H5, tức điều tiết thể chế (institutional moderation).</w:t>
      </w:r>
    </w:p>
    <w:bookmarkEnd w:id="52"/>
    <w:bookmarkStart w:id="53" w:name="Xcc3eee4fbea372afb82cb0ae0b2af37656e40ee"/>
    <w:p>
      <w:pPr>
        <w:pStyle w:val="Heading5"/>
      </w:pPr>
      <w:r>
        <w:t xml:space="preserve">2.3.1.3 Thực trạng quốc tế hóa và tăng trưởng việc làm</w:t>
      </w:r>
    </w:p>
    <w:p>
      <w:pPr>
        <w:pStyle w:val="FirstParagraph"/>
      </w:pPr>
      <w:r>
        <w:rPr>
          <w:bCs/>
          <w:b/>
        </w:rPr>
        <w:t xml:space="preserve">Bảng 4.3</w:t>
      </w:r>
      <w:r>
        <w:t xml:space="preserve">.</w:t>
      </w:r>
      <w:r>
        <w:t xml:space="preserve"> </w:t>
      </w:r>
      <w:r>
        <w:rPr>
          <w:iCs/>
          <w:i/>
        </w:rPr>
        <w:t xml:space="preserve">FSTS, doanh nghiệp xuất khẩu và CAGR việc làm theo phân nhóm con.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FSTS (%)</w:t>
            </w:r>
          </w:p>
        </w:tc>
        <w:tc>
          <w:tcPr/>
          <w:p>
            <w:pPr>
              <w:pStyle w:val="Compact"/>
              <w:jc w:val="left"/>
            </w:pPr>
            <w:r>
              <w:t xml:space="preserve">Doanh nghiệp xuất khẩu (%)</w:t>
            </w:r>
          </w:p>
        </w:tc>
        <w:tc>
          <w:tcPr/>
          <w:p>
            <w:pPr>
              <w:pStyle w:val="Compact"/>
              <w:jc w:val="left"/>
            </w:pPr>
            <w:r>
              <w:t xml:space="preserve">CAGR việc làm (%)</w:t>
            </w:r>
          </w:p>
        </w:tc>
      </w:tr>
      <w:tr>
        <w:tc>
          <w:tcPr/>
          <w:p>
            <w:pPr>
              <w:pStyle w:val="Compact"/>
              <w:jc w:val="left"/>
            </w:pPr>
            <w:r>
              <w:t xml:space="preserve">Advanced</w:t>
            </w:r>
          </w:p>
        </w:tc>
        <w:tc>
          <w:tcPr/>
          <w:p>
            <w:pPr>
              <w:pStyle w:val="Compact"/>
              <w:jc w:val="left"/>
            </w:pPr>
            <w:r>
              <w:t xml:space="preserve">10,2</w:t>
            </w:r>
          </w:p>
        </w:tc>
        <w:tc>
          <w:tcPr/>
          <w:p>
            <w:pPr>
              <w:pStyle w:val="Compact"/>
              <w:jc w:val="left"/>
            </w:pPr>
            <w:r>
              <w:t xml:space="preserve">23,0</w:t>
            </w:r>
          </w:p>
        </w:tc>
        <w:tc>
          <w:tcPr/>
          <w:p>
            <w:pPr>
              <w:pStyle w:val="Compact"/>
              <w:jc w:val="left"/>
            </w:pPr>
            <w:r>
              <w:t xml:space="preserve">3,15</w:t>
            </w:r>
          </w:p>
        </w:tc>
      </w:tr>
      <w:tr>
        <w:tc>
          <w:tcPr/>
          <w:p>
            <w:pPr>
              <w:pStyle w:val="Compact"/>
              <w:jc w:val="left"/>
            </w:pPr>
            <w:r>
              <w:t xml:space="preserve">Upper-middle</w:t>
            </w:r>
          </w:p>
        </w:tc>
        <w:tc>
          <w:tcPr/>
          <w:p>
            <w:pPr>
              <w:pStyle w:val="Compact"/>
              <w:jc w:val="left"/>
            </w:pPr>
            <w:r>
              <w:t xml:space="preserve">10,3</w:t>
            </w:r>
          </w:p>
        </w:tc>
        <w:tc>
          <w:tcPr/>
          <w:p>
            <w:pPr>
              <w:pStyle w:val="Compact"/>
              <w:jc w:val="left"/>
            </w:pPr>
            <w:r>
              <w:t xml:space="preserve">21,7</w:t>
            </w:r>
          </w:p>
        </w:tc>
        <w:tc>
          <w:tcPr/>
          <w:p>
            <w:pPr>
              <w:pStyle w:val="Compact"/>
              <w:jc w:val="left"/>
            </w:pPr>
            <w:r>
              <w:t xml:space="preserve">4,25</w:t>
            </w:r>
          </w:p>
        </w:tc>
      </w:tr>
      <w:tr>
        <w:tc>
          <w:tcPr/>
          <w:p>
            <w:pPr>
              <w:pStyle w:val="Compact"/>
              <w:jc w:val="left"/>
            </w:pPr>
            <w:r>
              <w:t xml:space="preserve">Emerging</w:t>
            </w:r>
          </w:p>
        </w:tc>
        <w:tc>
          <w:tcPr/>
          <w:p>
            <w:pPr>
              <w:pStyle w:val="Compact"/>
              <w:jc w:val="left"/>
            </w:pPr>
            <w:r>
              <w:t xml:space="preserve">8,6</w:t>
            </w:r>
          </w:p>
        </w:tc>
        <w:tc>
          <w:tcPr/>
          <w:p>
            <w:pPr>
              <w:pStyle w:val="Compact"/>
              <w:jc w:val="left"/>
            </w:pPr>
            <w:r>
              <w:t xml:space="preserve">15,5</w:t>
            </w:r>
          </w:p>
        </w:tc>
        <w:tc>
          <w:tcPr/>
          <w:p>
            <w:pPr>
              <w:pStyle w:val="Compact"/>
              <w:jc w:val="left"/>
            </w:pPr>
            <w:r>
              <w:t xml:space="preserve">2,81</w:t>
            </w:r>
          </w:p>
        </w:tc>
      </w:tr>
      <w:tr>
        <w:tc>
          <w:tcPr/>
          <w:p>
            <w:pPr>
              <w:pStyle w:val="Compact"/>
              <w:jc w:val="left"/>
            </w:pPr>
            <w:r>
              <w:t xml:space="preserve">Frontier</w:t>
            </w:r>
          </w:p>
        </w:tc>
        <w:tc>
          <w:tcPr/>
          <w:p>
            <w:pPr>
              <w:pStyle w:val="Compact"/>
              <w:jc w:val="left"/>
            </w:pPr>
            <w:r>
              <w:t xml:space="preserve">10,1</w:t>
            </w:r>
          </w:p>
        </w:tc>
        <w:tc>
          <w:tcPr/>
          <w:p>
            <w:pPr>
              <w:pStyle w:val="Compact"/>
              <w:jc w:val="left"/>
            </w:pPr>
            <w:r>
              <w:t xml:space="preserve">16,6</w:t>
            </w:r>
          </w:p>
        </w:tc>
        <w:tc>
          <w:tcPr/>
          <w:p>
            <w:pPr>
              <w:pStyle w:val="Compact"/>
              <w:jc w:val="left"/>
            </w:pPr>
            <w:r>
              <w:t xml:space="preserve">3,65</w:t>
            </w:r>
          </w:p>
        </w:tc>
      </w:tr>
      <w:tr>
        <w:tc>
          <w:tcPr/>
          <w:p>
            <w:pPr>
              <w:pStyle w:val="Compact"/>
              <w:jc w:val="left"/>
            </w:pPr>
            <w:r>
              <w:t xml:space="preserve">SIDS</w:t>
            </w:r>
          </w:p>
        </w:tc>
        <w:tc>
          <w:tcPr/>
          <w:p>
            <w:pPr>
              <w:pStyle w:val="Compact"/>
              <w:jc w:val="left"/>
            </w:pPr>
            <w:r>
              <w:t xml:space="preserve">6,3</w:t>
            </w:r>
          </w:p>
        </w:tc>
        <w:tc>
          <w:tcPr/>
          <w:p>
            <w:pPr>
              <w:pStyle w:val="Compact"/>
              <w:jc w:val="left"/>
            </w:pPr>
            <w:r>
              <w:t xml:space="preserve">16,3</w:t>
            </w:r>
          </w:p>
        </w:tc>
        <w:tc>
          <w:tcPr/>
          <w:p>
            <w:pPr>
              <w:pStyle w:val="Compact"/>
              <w:jc w:val="left"/>
            </w:pPr>
            <w:r>
              <w:t xml:space="preserve">5,77</w:t>
            </w:r>
          </w:p>
        </w:tc>
      </w:tr>
    </w:tbl>
    <w:p>
      <w:pPr>
        <w:pStyle w:val="BodyText"/>
      </w:pPr>
      <w:r>
        <w:t xml:space="preserve">Trung vị FSTS bằng 0%, cho thấy phân phối phân cực mạnh; SIDS có CAGR việc làm cao nhất.</w:t>
      </w:r>
    </w:p>
    <w:bookmarkEnd w:id="53"/>
    <w:bookmarkStart w:id="54" w:name="X6ea576e0e3fd0e159d48e7775c34a2628d38d6f"/>
    <w:p>
      <w:pPr>
        <w:pStyle w:val="Heading5"/>
      </w:pPr>
      <w:r>
        <w:t xml:space="preserve">2.3.1.4 Thực trạng đổi mới sáng tạo và năng lực số</w:t>
      </w:r>
    </w:p>
    <w:bookmarkEnd w:id="54"/>
    <w:bookmarkStart w:id="55" w:name="X8666dd8f0f3c1c92c67df5477ad8df09b427492"/>
    <w:p>
      <w:pPr>
        <w:pStyle w:val="Heading5"/>
      </w:pPr>
      <w:r>
        <w:t xml:space="preserve">2.3.1.4.0 Khung 5 lĩnh vực chỉ số WBES — định vị §2.3.1.4 trong tổng thể</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 Nhóm 7.</w:t>
      </w:r>
    </w:p>
    <w:p>
      <w:pPr>
        <w:pStyle w:val="FirstParagraph"/>
      </w:pPr>
      <w:r>
        <w:t xml:space="preserve">WBES tổ chức các chỉ số doanh nghiệp thành</w:t>
      </w:r>
      <w:r>
        <w:t xml:space="preserve"> </w:t>
      </w:r>
      <w:r>
        <w:rPr>
          <w:bCs/>
          <w:b/>
        </w:rPr>
        <w:t xml:space="preserve">5 lĩnh vực chính thức (5 indicator domains)</w:t>
      </w:r>
      <w:r>
        <w:t xml:space="preserve">. Đây là khung phân tích chuẩn của World Bank được dùng nhất quán xuyên các báo cáo WBES châu Á và châu lục khác. Bảng dưới định vị §2.3.1.4 hiện tại trong tổng thể 5 lĩnh vực:</w:t>
      </w:r>
    </w:p>
    <w:p>
      <w:pPr>
        <w:pStyle w:val="BodyText"/>
      </w:pPr>
      <w:r>
        <w:rPr>
          <w:bCs/>
          <w:b/>
        </w:rPr>
        <w:t xml:space="preserve">Bảng 4.4.0</w:t>
      </w:r>
      <w:r>
        <w:t xml:space="preserve">.</w:t>
      </w:r>
      <w:r>
        <w:t xml:space="preserve"> </w:t>
      </w:r>
      <w:r>
        <w:rPr>
          <w:iCs/>
          <w:i/>
        </w:rPr>
        <w:t xml:space="preserve">Khung 5 lĩnh vực chỉ số WBES, định vị phạm vi đo lường của §2.3.1.4.</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Lĩnh vực</w:t>
            </w:r>
          </w:p>
        </w:tc>
        <w:tc>
          <w:tcPr/>
          <w:p>
            <w:pPr>
              <w:pStyle w:val="Compact"/>
              <w:jc w:val="left"/>
            </w:pPr>
            <w:r>
              <w:t xml:space="preserve">Ví dụ chỉ số WBES</w:t>
            </w:r>
          </w:p>
        </w:tc>
        <w:tc>
          <w:tcPr/>
          <w:p>
            <w:pPr>
              <w:pStyle w:val="Compact"/>
              <w:jc w:val="left"/>
            </w:pPr>
            <w:r>
              <w:t xml:space="preserve">§CĐ1 đo trực tiếp</w:t>
            </w:r>
          </w:p>
        </w:tc>
        <w:tc>
          <w:tcPr/>
          <w:p>
            <w:pPr>
              <w:pStyle w:val="Compact"/>
              <w:jc w:val="left"/>
            </w:pPr>
            <w:r>
              <w:t xml:space="preserve">Hàm ý CĐ2</w:t>
            </w:r>
          </w:p>
        </w:tc>
      </w:tr>
      <w:tr>
        <w:tc>
          <w:tcPr/>
          <w:p>
            <w:pPr>
              <w:pStyle w:val="Compact"/>
              <w:jc w:val="left"/>
            </w:pPr>
            <w:r>
              <w:t xml:space="preserve">(1)</w:t>
            </w:r>
          </w:p>
        </w:tc>
        <w:tc>
          <w:tcPr/>
          <w:p>
            <w:pPr>
              <w:pStyle w:val="Compact"/>
              <w:jc w:val="left"/>
            </w:pPr>
            <w:r>
              <w:rPr>
                <w:bCs/>
                <w:b/>
              </w:rPr>
              <w:t xml:space="preserve">Quy định pháp lý + Thuế</w:t>
            </w:r>
          </w:p>
        </w:tc>
        <w:tc>
          <w:tcPr/>
          <w:p>
            <w:pPr>
              <w:pStyle w:val="Compact"/>
              <w:jc w:val="left"/>
            </w:pPr>
            <w:r>
              <w:t xml:space="preserve">Thuế thời gian (Time Tax) — h/năm tuân thủ thuế; Tuân thủ thuế (Tax compliance); Cấp phép kinh doanh; Thanh tra</w:t>
            </w:r>
          </w:p>
        </w:tc>
        <w:tc>
          <w:tcPr/>
          <w:p>
            <w:pPr>
              <w:pStyle w:val="Compact"/>
              <w:jc w:val="left"/>
            </w:pPr>
            <w:r>
              <w:t xml:space="preserve">(gợi ý CĐ2)</w:t>
            </w:r>
          </w:p>
        </w:tc>
        <w:tc>
          <w:tcPr/>
          <w:p>
            <w:pPr>
              <w:pStyle w:val="Compact"/>
              <w:jc w:val="left"/>
            </w:pPr>
            <w:r>
              <w:t xml:space="preserve">CĐ2 sẽ deep-dive — biến</w:t>
            </w:r>
            <w:r>
              <w:t xml:space="preserve"> </w:t>
            </w:r>
            <w:r>
              <w:rPr>
                <w:rStyle w:val="VerbatimChar"/>
              </w:rPr>
              <w:t xml:space="preserve">time_tax_hours</w:t>
            </w:r>
            <w:r>
              <w:t xml:space="preserve"> </w:t>
            </w:r>
            <w:r>
              <w:t xml:space="preserve">và</w:t>
            </w:r>
            <w:r>
              <w:t xml:space="preserve"> </w:t>
            </w:r>
            <w:r>
              <w:rPr>
                <w:rStyle w:val="VerbatimChar"/>
              </w:rPr>
              <w:t xml:space="preserve">tax_inspection_freq</w:t>
            </w:r>
          </w:p>
        </w:tc>
      </w:tr>
      <w:tr>
        <w:tc>
          <w:tcPr/>
          <w:p>
            <w:pPr>
              <w:pStyle w:val="Compact"/>
              <w:jc w:val="left"/>
            </w:pPr>
            <w:r>
              <w:t xml:space="preserve">(2)</w:t>
            </w:r>
          </w:p>
        </w:tc>
        <w:tc>
          <w:tcPr/>
          <w:p>
            <w:pPr>
              <w:pStyle w:val="Compact"/>
              <w:jc w:val="left"/>
            </w:pPr>
            <w:r>
              <w:rPr>
                <w:bCs/>
                <w:b/>
              </w:rPr>
              <w:t xml:space="preserve">Tài chính + Tín dụng</w:t>
            </w:r>
          </w:p>
        </w:tc>
        <w:tc>
          <w:tcPr/>
          <w:p>
            <w:pPr>
              <w:pStyle w:val="Compact"/>
              <w:jc w:val="left"/>
            </w:pPr>
            <w:r>
              <w:t xml:space="preserve">Hạn chế tín dụng (Credit constraint); Số hóa tài chính (Financial digitalization); Tỷ lệ DN có tài khoản ngân hàng; Tỷ lệ DN có khoản vay</w:t>
            </w:r>
          </w:p>
        </w:tc>
        <w:tc>
          <w:tcPr/>
          <w:p>
            <w:pPr>
              <w:pStyle w:val="Compact"/>
              <w:jc w:val="left"/>
            </w:pPr>
            <w:r>
              <w:t xml:space="preserve">(gợi ý CĐ2 — link §2.3.1.5.5 rào cản #1)</w:t>
            </w:r>
          </w:p>
        </w:tc>
        <w:tc>
          <w:tcPr/>
          <w:p>
            <w:pPr>
              <w:pStyle w:val="Compact"/>
              <w:jc w:val="left"/>
            </w:pPr>
            <w:r>
              <w:t xml:space="preserve">CĐ2 deep-dive — biến</w:t>
            </w:r>
            <w:r>
              <w:t xml:space="preserve"> </w:t>
            </w:r>
            <w:r>
              <w:rPr>
                <w:rStyle w:val="VerbatimChar"/>
              </w:rPr>
              <w:t xml:space="preserve">credit_constraint_dummy</w:t>
            </w:r>
          </w:p>
        </w:tc>
      </w:tr>
      <w:tr>
        <w:tc>
          <w:tcPr/>
          <w:p>
            <w:pPr>
              <w:pStyle w:val="Compact"/>
              <w:jc w:val="left"/>
            </w:pPr>
            <w:r>
              <w:t xml:space="preserve">(3)</w:t>
            </w:r>
          </w:p>
        </w:tc>
        <w:tc>
          <w:tcPr/>
          <w:p>
            <w:pPr>
              <w:pStyle w:val="Compact"/>
              <w:jc w:val="left"/>
            </w:pPr>
            <w:r>
              <w:rPr>
                <w:bCs/>
                <w:b/>
              </w:rPr>
              <w:t xml:space="preserve">Cơ sở hạ tầng + Khí hậu</w:t>
            </w:r>
          </w:p>
        </w:tc>
        <w:tc>
          <w:tcPr/>
          <w:p>
            <w:pPr>
              <w:pStyle w:val="Compact"/>
              <w:jc w:val="left"/>
            </w:pPr>
            <w:r>
              <w:t xml:space="preserve">Quản lý năng lượng (Energy management); Mất điện (Power outages); Theo dõi CO2 (CO2 monitoring); Chất lượng đường giao thông</w:t>
            </w:r>
          </w:p>
        </w:tc>
        <w:tc>
          <w:tcPr/>
          <w:p>
            <w:pPr>
              <w:pStyle w:val="Compact"/>
              <w:jc w:val="left"/>
            </w:pPr>
            <w:r>
              <w:rPr>
                <w:bCs/>
                <w:b/>
              </w:rPr>
              <w:t xml:space="preserve">§2.3.1.4 đo gián tiếp qua quy trình mới</w:t>
            </w:r>
            <w:r>
              <w:t xml:space="preserve">;</w:t>
            </w:r>
            <w:r>
              <w:t xml:space="preserve"> </w:t>
            </w:r>
            <w:r>
              <w:rPr>
                <w:bCs/>
                <w:b/>
              </w:rPr>
              <w:t xml:space="preserve">§2.3.1.5.5 rào cản #4 đo trực tiếp</w:t>
            </w:r>
          </w:p>
        </w:tc>
        <w:tc>
          <w:tcPr/>
          <w:p>
            <w:pPr>
              <w:pStyle w:val="Compact"/>
              <w:jc w:val="left"/>
            </w:pPr>
            <w:r>
              <w:t xml:space="preserve">CĐ2 — biến</w:t>
            </w:r>
            <w:r>
              <w:t xml:space="preserve"> </w:t>
            </w:r>
            <w:r>
              <w:rPr>
                <w:rStyle w:val="VerbatimChar"/>
              </w:rPr>
              <w:t xml:space="preserve">power_outage_intensity</w:t>
            </w:r>
            <w:r>
              <w:t xml:space="preserve"> </w:t>
            </w:r>
            <w:r>
              <w:t xml:space="preserve">từ question c30</w:t>
            </w:r>
          </w:p>
        </w:tc>
      </w:tr>
      <w:tr>
        <w:tc>
          <w:tcPr/>
          <w:p>
            <w:pPr>
              <w:pStyle w:val="Compact"/>
              <w:jc w:val="left"/>
            </w:pPr>
            <w:r>
              <w:t xml:space="preserve">(4)</w:t>
            </w:r>
          </w:p>
        </w:tc>
        <w:tc>
          <w:tcPr/>
          <w:p>
            <w:pPr>
              <w:pStyle w:val="Compact"/>
              <w:jc w:val="left"/>
            </w:pPr>
            <w:r>
              <w:rPr>
                <w:bCs/>
                <w:b/>
              </w:rPr>
              <w:t xml:space="preserve">Thương mại + Cạnh tranh</w:t>
            </w:r>
          </w:p>
        </w:tc>
        <w:tc>
          <w:tcPr/>
          <w:p>
            <w:pPr>
              <w:pStyle w:val="Compact"/>
              <w:jc w:val="left"/>
            </w:pPr>
            <w:r>
              <w:t xml:space="preserve">Thời gian thông quan (Customs clearance time); Đối thủ phi chính thức; Xuất khẩu trực tiếp/gián tiếp; FSTS</w:t>
            </w:r>
          </w:p>
        </w:tc>
        <w:tc>
          <w:tcPr/>
          <w:p>
            <w:pPr>
              <w:pStyle w:val="Compact"/>
              <w:jc w:val="left"/>
            </w:pPr>
            <w:r>
              <w:t xml:space="preserve">(FSTS đã đo §2.3.1.3); cạnh tranh phi chính thức ở §2.3.1.5.5 #3</w:t>
            </w:r>
          </w:p>
        </w:tc>
        <w:tc>
          <w:tcPr/>
          <w:p>
            <w:pPr>
              <w:pStyle w:val="Compact"/>
              <w:jc w:val="left"/>
            </w:pPr>
            <w:r>
              <w:t xml:space="preserve">CĐ2 — biến</w:t>
            </w:r>
            <w:r>
              <w:t xml:space="preserve"> </w:t>
            </w:r>
            <w:r>
              <w:rPr>
                <w:rStyle w:val="VerbatimChar"/>
              </w:rPr>
              <w:t xml:space="preserve">customs_days</w:t>
            </w:r>
            <w:r>
              <w:t xml:space="preserve"> </w:t>
            </w:r>
            <w:r>
              <w:t xml:space="preserve">+</w:t>
            </w:r>
            <w:r>
              <w:t xml:space="preserve"> </w:t>
            </w:r>
            <w:r>
              <w:rPr>
                <w:rStyle w:val="VerbatimChar"/>
              </w:rPr>
              <w:t xml:space="preserve">informal_competition</w:t>
            </w:r>
          </w:p>
        </w:tc>
      </w:tr>
      <w:tr>
        <w:tc>
          <w:tcPr/>
          <w:p>
            <w:pPr>
              <w:pStyle w:val="Compact"/>
              <w:jc w:val="left"/>
            </w:pPr>
            <w:r>
              <w:t xml:space="preserve">(5)</w:t>
            </w:r>
          </w:p>
        </w:tc>
        <w:tc>
          <w:tcPr/>
          <w:p>
            <w:pPr>
              <w:pStyle w:val="Compact"/>
              <w:jc w:val="left"/>
            </w:pPr>
            <w:r>
              <w:rPr>
                <w:bCs/>
                <w:b/>
              </w:rPr>
              <w:t xml:space="preserve">Tham nhũng + Phi chính thức</w:t>
            </w:r>
          </w:p>
        </w:tc>
        <w:tc>
          <w:tcPr/>
          <w:p>
            <w:pPr>
              <w:pStyle w:val="Compact"/>
              <w:jc w:val="left"/>
            </w:pPr>
            <w:r>
              <w:t xml:space="preserve">Hối lộ (Bribery): Bribery Incidence + Bribery Depth; Tham ô (Graft Index); Đối thủ không chính thức</w:t>
            </w:r>
          </w:p>
        </w:tc>
        <w:tc>
          <w:tcPr/>
          <w:p>
            <w:pPr>
              <w:pStyle w:val="Compact"/>
              <w:jc w:val="left"/>
            </w:pPr>
            <w:r>
              <w:t xml:space="preserve">(phân biệt rõ trong §2.3.1.7.5)</w:t>
            </w:r>
          </w:p>
        </w:tc>
        <w:tc>
          <w:tcPr/>
          <w:p>
            <w:pPr>
              <w:pStyle w:val="Compact"/>
              <w:jc w:val="left"/>
            </w:pPr>
            <w:r>
              <w:t xml:space="preserve">CĐ2 deep-dive — biến</w:t>
            </w:r>
            <w:r>
              <w:t xml:space="preserve"> </w:t>
            </w:r>
            <w:r>
              <w:rPr>
                <w:rStyle w:val="VerbatimChar"/>
              </w:rPr>
              <w:t xml:space="preserve">bribery_incidence_pct</w:t>
            </w:r>
          </w:p>
        </w:tc>
      </w:tr>
    </w:tbl>
    <w:p>
      <w:pPr>
        <w:pStyle w:val="BodyText"/>
      </w:pPr>
      <w:r>
        <w:rPr>
          <w:bCs/>
          <w:b/>
        </w:rPr>
        <w:t xml:space="preserve">Phạm vi đo lường của §2.3.1.4</w:t>
      </w:r>
      <w:r>
        <w:t xml:space="preserve"> </w:t>
      </w:r>
      <w:r>
        <w:rPr>
          <w:iCs/>
          <w:i/>
        </w:rPr>
        <w:t xml:space="preserve">(đổi mới sáng tạo + năng lực số)</w:t>
      </w:r>
      <w:r>
        <w:t xml:space="preserve">: Chỉ tập trung vào</w:t>
      </w:r>
      <w:r>
        <w:t xml:space="preserve"> </w:t>
      </w:r>
      <w:r>
        <w:rPr>
          <w:bCs/>
          <w:b/>
        </w:rPr>
        <w:t xml:space="preserve">lĩnh vực (5) phần đổi mới + năng lực số</w:t>
      </w:r>
      <w:r>
        <w:t xml:space="preserve"> </w:t>
      </w:r>
      <w:r>
        <w:t xml:space="preserve">(gồm Sản phẩm mới, Quy trình mới, R&amp;D, ISO, Website) và một phần</w:t>
      </w:r>
      <w:r>
        <w:t xml:space="preserve"> </w:t>
      </w:r>
      <w:r>
        <w:rPr>
          <w:bCs/>
          <w:b/>
        </w:rPr>
        <w:t xml:space="preserve">lĩnh vực (3) hạ tầng</w:t>
      </w:r>
      <w:r>
        <w:t xml:space="preserve"> </w:t>
      </w:r>
      <w:r>
        <w:t xml:space="preserve">(Website đại diện cho ICT infrastructure access). Các lĩnh vực (1) (2) (4) và phần lớn (5) tham nhũng được</w:t>
      </w:r>
      <w:r>
        <w:t xml:space="preserve"> </w:t>
      </w:r>
      <w:r>
        <w:rPr>
          <w:bCs/>
          <w:b/>
        </w:rPr>
        <w:t xml:space="preserve">đề cập gián tiếp</w:t>
      </w:r>
      <w:r>
        <w:t xml:space="preserve"> </w:t>
      </w:r>
      <w:r>
        <w:t xml:space="preserve">qua bảng kết quả mức độ chi tiết quốc gia (§2.3.1.10) hoặc rào cản hàng đầu (§2.3.1.5.5), nhưng chưa được phân tích sâu. Đây là</w:t>
      </w:r>
      <w:r>
        <w:t xml:space="preserve"> </w:t>
      </w:r>
      <w:r>
        <w:rPr>
          <w:bCs/>
          <w:b/>
        </w:rPr>
        <w:t xml:space="preserve">scope mở rộng cho CĐ2</w:t>
      </w:r>
      <w:r>
        <w:t xml:space="preserve"> </w:t>
      </w:r>
      <w:r>
        <w:t xml:space="preserve">với 5 control variables mới (xem §2.3.1.5.5 hàm ý CĐ2).</w:t>
      </w:r>
    </w:p>
    <w:p>
      <w:pPr>
        <w:pStyle w:val="BodyText"/>
      </w:pPr>
      <w:r>
        <w:rPr>
          <w:bCs/>
          <w:b/>
        </w:rPr>
        <w:t xml:space="preserve">Lý do giới hạn phạm vi CĐ1</w:t>
      </w:r>
      <w:r>
        <w:t xml:space="preserve">: (a) tính khả dụng của biến: biến trong (1) (2) (4) có nhiều missing values trong PICS3 schema cũ 2009-2012, gây mất cân đối panel; (b) tập trung vào hai construct cốt lõi của luận án (TCI + DAI), mà Đỗ &amp; Phan (2026, VEFR) đã thiết kế hai biến này từ lĩnh vực (5) đổi mới + năng lực số; (c) CĐ1 mang tính descriptive và gợi mở, để dành CĐ2 cho phân tích đa biến với specification đầy đủ 5 lĩnh vực.</w:t>
      </w:r>
    </w:p>
    <w:p>
      <w:pPr>
        <w:pStyle w:val="BodyText"/>
      </w:pPr>
      <w:r>
        <w:rPr>
          <w:bCs/>
          <w:b/>
        </w:rPr>
        <w:t xml:space="preserve">Bảng 4.4</w:t>
      </w:r>
      <w:r>
        <w:t xml:space="preserve">.</w:t>
      </w:r>
      <w:r>
        <w:t xml:space="preserve"> </w:t>
      </w:r>
      <w:r>
        <w:rPr>
          <w:iCs/>
          <w:i/>
        </w:rPr>
        <w:t xml:space="preserve">Đổi mới sáng tạo và áp dụng số (%).</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Sản phẩm mới</w:t>
            </w:r>
          </w:p>
        </w:tc>
        <w:tc>
          <w:tcPr/>
          <w:p>
            <w:pPr>
              <w:pStyle w:val="Compact"/>
              <w:jc w:val="left"/>
            </w:pPr>
            <w:r>
              <w:t xml:space="preserve">Quy trình mới</w:t>
            </w:r>
          </w:p>
        </w:tc>
        <w:tc>
          <w:tcPr/>
          <w:p>
            <w:pPr>
              <w:pStyle w:val="Compact"/>
              <w:jc w:val="left"/>
            </w:pPr>
            <w:r>
              <w:t xml:space="preserve">R&amp;D</w:t>
            </w:r>
          </w:p>
        </w:tc>
        <w:tc>
          <w:tcPr/>
          <w:p>
            <w:pPr>
              <w:pStyle w:val="Compact"/>
              <w:jc w:val="left"/>
            </w:pPr>
            <w:r>
              <w:t xml:space="preserve">ISO</w:t>
            </w:r>
          </w:p>
        </w:tc>
        <w:tc>
          <w:tcPr/>
          <w:p>
            <w:pPr>
              <w:pStyle w:val="Compact"/>
              <w:jc w:val="left"/>
            </w:pPr>
            <w:r>
              <w:t xml:space="preserve">Website</w:t>
            </w:r>
          </w:p>
        </w:tc>
      </w:tr>
      <w:tr>
        <w:tc>
          <w:tcPr/>
          <w:p>
            <w:pPr>
              <w:pStyle w:val="Compact"/>
              <w:jc w:val="left"/>
            </w:pPr>
            <w:r>
              <w:t xml:space="preserve">Advanced</w:t>
            </w:r>
          </w:p>
        </w:tc>
        <w:tc>
          <w:tcPr/>
          <w:p>
            <w:pPr>
              <w:pStyle w:val="Compact"/>
              <w:jc w:val="left"/>
            </w:pPr>
            <w:r>
              <w:t xml:space="preserve">22,3</w:t>
            </w:r>
          </w:p>
        </w:tc>
        <w:tc>
          <w:tcPr/>
          <w:p>
            <w:pPr>
              <w:pStyle w:val="Compact"/>
              <w:jc w:val="left"/>
            </w:pPr>
            <w:r>
              <w:t xml:space="preserve">52,3</w:t>
            </w:r>
          </w:p>
        </w:tc>
        <w:tc>
          <w:tcPr/>
          <w:p>
            <w:pPr>
              <w:pStyle w:val="Compact"/>
              <w:jc w:val="left"/>
            </w:pPr>
            <w:r>
              <w:t xml:space="preserve">16,7</w:t>
            </w:r>
          </w:p>
        </w:tc>
        <w:tc>
          <w:tcPr/>
          <w:p>
            <w:pPr>
              <w:pStyle w:val="Compact"/>
              <w:jc w:val="left"/>
            </w:pPr>
            <w:r>
              <w:t xml:space="preserve">29,9</w:t>
            </w:r>
          </w:p>
        </w:tc>
        <w:tc>
          <w:tcPr/>
          <w:p>
            <w:pPr>
              <w:pStyle w:val="Compact"/>
              <w:jc w:val="left"/>
            </w:pPr>
            <w:r>
              <w:t xml:space="preserve">59,3</w:t>
            </w:r>
          </w:p>
        </w:tc>
      </w:tr>
      <w:tr>
        <w:tc>
          <w:tcPr/>
          <w:p>
            <w:pPr>
              <w:pStyle w:val="Compact"/>
              <w:jc w:val="left"/>
            </w:pPr>
            <w:r>
              <w:t xml:space="preserve">Upper-middle</w:t>
            </w:r>
          </w:p>
        </w:tc>
        <w:tc>
          <w:tcPr/>
          <w:p>
            <w:pPr>
              <w:pStyle w:val="Compact"/>
              <w:jc w:val="left"/>
            </w:pPr>
            <w:r>
              <w:t xml:space="preserve">26,7</w:t>
            </w:r>
          </w:p>
        </w:tc>
        <w:tc>
          <w:tcPr/>
          <w:p>
            <w:pPr>
              <w:pStyle w:val="Compact"/>
              <w:jc w:val="left"/>
            </w:pPr>
            <w:r>
              <w:t xml:space="preserve">71,7</w:t>
            </w:r>
          </w:p>
        </w:tc>
        <w:tc>
          <w:tcPr/>
          <w:p>
            <w:pPr>
              <w:pStyle w:val="Compact"/>
              <w:jc w:val="left"/>
            </w:pPr>
            <w:r>
              <w:t xml:space="preserve">21,0</w:t>
            </w:r>
          </w:p>
        </w:tc>
        <w:tc>
          <w:tcPr/>
          <w:p>
            <w:pPr>
              <w:pStyle w:val="Compact"/>
              <w:jc w:val="left"/>
            </w:pPr>
            <w:r>
              <w:t xml:space="preserve">31,4</w:t>
            </w:r>
          </w:p>
        </w:tc>
        <w:tc>
          <w:tcPr/>
          <w:p>
            <w:pPr>
              <w:pStyle w:val="Compact"/>
              <w:jc w:val="left"/>
            </w:pPr>
            <w:r>
              <w:t xml:space="preserve">56,9</w:t>
            </w:r>
          </w:p>
        </w:tc>
      </w:tr>
      <w:tr>
        <w:tc>
          <w:tcPr/>
          <w:p>
            <w:pPr>
              <w:pStyle w:val="Compact"/>
              <w:jc w:val="left"/>
            </w:pPr>
            <w:r>
              <w:t xml:space="preserve">Emerging</w:t>
            </w:r>
          </w:p>
        </w:tc>
        <w:tc>
          <w:tcPr/>
          <w:p>
            <w:pPr>
              <w:pStyle w:val="Compact"/>
              <w:jc w:val="left"/>
            </w:pPr>
            <w:r>
              <w:t xml:space="preserve">17,5</w:t>
            </w:r>
          </w:p>
        </w:tc>
        <w:tc>
          <w:tcPr/>
          <w:p>
            <w:pPr>
              <w:pStyle w:val="Compact"/>
              <w:jc w:val="left"/>
            </w:pPr>
            <w:r>
              <w:t xml:space="preserve">65,2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49,2</w:t>
            </w:r>
          </w:p>
        </w:tc>
      </w:tr>
      <w:tr>
        <w:tc>
          <w:tcPr/>
          <w:p>
            <w:pPr>
              <w:pStyle w:val="Compact"/>
              <w:jc w:val="left"/>
            </w:pPr>
            <w:r>
              <w:t xml:space="preserve">Frontier</w:t>
            </w:r>
          </w:p>
        </w:tc>
        <w:tc>
          <w:tcPr/>
          <w:p>
            <w:pPr>
              <w:pStyle w:val="Compact"/>
              <w:jc w:val="left"/>
            </w:pPr>
            <w:r>
              <w:t xml:space="preserve">23,1</w:t>
            </w:r>
          </w:p>
        </w:tc>
        <w:tc>
          <w:tcPr/>
          <w:p>
            <w:pPr>
              <w:pStyle w:val="Compact"/>
              <w:jc w:val="left"/>
            </w:pPr>
            <w:r>
              <w:t xml:space="preserve">68,9</w:t>
            </w:r>
          </w:p>
        </w:tc>
        <w:tc>
          <w:tcPr/>
          <w:p>
            <w:pPr>
              <w:pStyle w:val="Compact"/>
              <w:jc w:val="left"/>
            </w:pPr>
            <w:r>
              <w:t xml:space="preserve">14,2</w:t>
            </w:r>
          </w:p>
        </w:tc>
        <w:tc>
          <w:tcPr/>
          <w:p>
            <w:pPr>
              <w:pStyle w:val="Compact"/>
              <w:jc w:val="left"/>
            </w:pPr>
            <w:r>
              <w:t xml:space="preserve">20,7</w:t>
            </w:r>
          </w:p>
        </w:tc>
        <w:tc>
          <w:tcPr/>
          <w:p>
            <w:pPr>
              <w:pStyle w:val="Compact"/>
              <w:jc w:val="left"/>
            </w:pPr>
            <w:r>
              <w:t xml:space="preserve">38,0</w:t>
            </w:r>
          </w:p>
        </w:tc>
      </w:tr>
      <w:tr>
        <w:tc>
          <w:tcPr/>
          <w:p>
            <w:pPr>
              <w:pStyle w:val="Compact"/>
              <w:jc w:val="left"/>
            </w:pPr>
            <w:r>
              <w:t xml:space="preserve">SIDS Thái Bình Dương</w:t>
            </w:r>
          </w:p>
        </w:tc>
        <w:tc>
          <w:tcPr/>
          <w:p>
            <w:pPr>
              <w:pStyle w:val="Compact"/>
              <w:jc w:val="left"/>
            </w:pPr>
            <w:r>
              <w:rPr>
                <w:bCs/>
                <w:b/>
              </w:rPr>
              <w:t xml:space="preserve">41,5</w:t>
            </w:r>
          </w:p>
        </w:tc>
        <w:tc>
          <w:tcPr/>
          <w:p>
            <w:pPr>
              <w:pStyle w:val="Compact"/>
              <w:jc w:val="left"/>
            </w:pPr>
            <w:r>
              <w:t xml:space="preserve">65,1</w:t>
            </w:r>
          </w:p>
        </w:tc>
        <w:tc>
          <w:tcPr/>
          <w:p>
            <w:pPr>
              <w:pStyle w:val="Compact"/>
              <w:jc w:val="left"/>
            </w:pPr>
            <w:r>
              <w:t xml:space="preserve">11,8</w:t>
            </w:r>
          </w:p>
        </w:tc>
        <w:tc>
          <w:tcPr/>
          <w:p>
            <w:pPr>
              <w:pStyle w:val="Compact"/>
              <w:jc w:val="left"/>
            </w:pPr>
            <w:r>
              <w:t xml:space="preserve">16,5</w:t>
            </w:r>
          </w:p>
        </w:tc>
        <w:tc>
          <w:tcPr/>
          <w:p>
            <w:pPr>
              <w:pStyle w:val="Compact"/>
              <w:jc w:val="left"/>
            </w:pPr>
            <w:r>
              <w:rPr>
                <w:bCs/>
                <w:b/>
              </w:rPr>
              <w:t xml:space="preserve">58,9</w:t>
            </w:r>
          </w:p>
        </w:tc>
      </w:tr>
    </w:tbl>
    <w:p>
      <w:pPr>
        <w:pStyle w:val="BodyText"/>
      </w:pPr>
      <w:r>
        <w:t xml:space="preserve">SIDS Thái Bình Dương thể hiện pattern</w:t>
      </w:r>
      <w:r>
        <w:t xml:space="preserve"> </w:t>
      </w:r>
      <w:r>
        <w:rPr>
          <w:bCs/>
          <w:b/>
        </w:rPr>
        <w:t xml:space="preserve">thích nghi và nhảy vọt số (adaptation + digital leapfrog)</w:t>
      </w:r>
      <w:r>
        <w:t xml:space="preserve">; phân tách rõ Năng lực công nghệ (TCI) so với Năng lực số (DAI), kế thừa Đỗ &amp; Phan (2026, VEFR).</w:t>
      </w:r>
    </w:p>
    <w:bookmarkEnd w:id="55"/>
    <w:bookmarkStart w:id="56" w:name="X3d285362798247fb6677c6c4e1561f49678ad58"/>
    <w:p>
      <w:pPr>
        <w:pStyle w:val="Heading5"/>
      </w:pPr>
      <w:r>
        <w:t xml:space="preserve">2.3.1.4.5 Tái định hình</w:t>
      </w:r>
      <w:r>
        <w:t xml:space="preserve"> </w:t>
      </w:r>
      <w:r>
        <w:t xml:space="preserve">“</w:t>
      </w:r>
      <w:r>
        <w:t xml:space="preserve">Năng lực số</w:t>
      </w:r>
      <w:r>
        <w:t xml:space="preserve">”</w:t>
      </w:r>
      <w:r>
        <w:t xml:space="preserve"> </w:t>
      </w:r>
      <w:r>
        <w:t xml:space="preserve">— Tier-1 Digital Presence rebrand</w:t>
      </w:r>
    </w:p>
    <w:p>
      <w:pPr>
        <w:pStyle w:val="FirstParagraph"/>
      </w:pPr>
      <w:r>
        <w:t xml:space="preserve">Spec 1 (full coverage 2009–2025) dùng biến nhị phân duy nhất (</w:t>
      </w:r>
      <w:r>
        <w:rPr>
          <w:rStyle w:val="VerbatimChar"/>
        </w:rPr>
        <w:t xml:space="preserve">website</w:t>
      </w:r>
      <w:r>
        <w:t xml:space="preserve"> </w:t>
      </w:r>
      <w:r>
        <w:t xml:space="preserve">Y/N) đại diện cho</w:t>
      </w:r>
      <w:r>
        <w:t xml:space="preserve"> </w:t>
      </w:r>
      <w:r>
        <w:t xml:space="preserve">“</w:t>
      </w:r>
      <w:r>
        <w:t xml:space="preserve">Năng lực số (DAI)</w:t>
      </w:r>
      <w:r>
        <w:t xml:space="preserve">”</w:t>
      </w:r>
      <w:r>
        <w:t xml:space="preserve">. Trong khi đó TCI được đo bằng nhiều thành phần vững chắc (R&amp;D + ISO multi-component aspirational).</w:t>
      </w:r>
      <w:r>
        <w:t xml:space="preserve"> </w:t>
      </w:r>
      <w:r>
        <w:rPr>
          <w:bCs/>
          <w:b/>
        </w:rPr>
        <w:t xml:space="preserve">Hậu quả phân tích</w:t>
      </w:r>
      <w:r>
        <w:t xml:space="preserve">: hệ số -0,129 cho DAI ở Advanced trong Spec 1 gợi ý</w:t>
      </w:r>
      <w:r>
        <w:t xml:space="preserve"> </w:t>
      </w:r>
      <w:r>
        <w:t xml:space="preserve">“</w:t>
      </w:r>
      <w:r>
        <w:t xml:space="preserve">số hóa làm giảm năng suất ở Singapore/Hàn Quốc/Hong Kong</w:t>
      </w:r>
      <w:r>
        <w:t xml:space="preserve">”</w:t>
      </w:r>
      <w:r>
        <w:t xml:space="preserve">. Nhưng đây là</w:t>
      </w:r>
      <w:r>
        <w:t xml:space="preserve"> </w:t>
      </w:r>
      <w:r>
        <w:rPr>
          <w:bCs/>
          <w:b/>
        </w:rPr>
        <w:t xml:space="preserve">ảo ảnh thống kê</w:t>
      </w:r>
      <w:r>
        <w:t xml:space="preserve"> </w:t>
      </w:r>
      <w:r>
        <w:t xml:space="preserve">do đo lường sơ sài, không phải thực tế kinh tế. Một ẩn dụ minh họa (tác giả, ghi chú phân tích nội bộ, 2026): đo lường năng lực số bằng website nhị phân chẳng khác nào đánh giá hiệu suất một mạng lưới logistic vận hành bằng AI hiện đại nhưng lại dùng bản đồ trạm điện tín thế kỷ 19.</w:t>
      </w:r>
    </w:p>
    <w:p>
      <w:pPr>
        <w:pStyle w:val="BodyText"/>
      </w:pPr>
      <w:r>
        <w:rPr>
          <w:bCs/>
          <w:b/>
        </w:rPr>
        <w:t xml:space="preserve">Đề xuất tái định danh biến</w:t>
      </w:r>
      <w:r>
        <w:t xml:space="preserve">: Đổi tên biến trong Spec 1 từ</w:t>
      </w:r>
      <w:r>
        <w:t xml:space="preserve"> </w:t>
      </w:r>
      <w:r>
        <w:t xml:space="preserve">“</w:t>
      </w:r>
      <w:r>
        <w:t xml:space="preserve">DAI / Năng lực số / Chuyển đổi số</w:t>
      </w:r>
      <w:r>
        <w:t xml:space="preserve">”</w:t>
      </w:r>
      <w:r>
        <w:t xml:space="preserve"> </w:t>
      </w:r>
      <w:r>
        <w:t xml:space="preserve">sang</w:t>
      </w:r>
      <w:r>
        <w:t xml:space="preserve"> </w:t>
      </w:r>
      <w:r>
        <w:rPr>
          <w:bCs/>
          <w:b/>
        </w:rPr>
        <w:t xml:space="preserve">“</w:t>
      </w:r>
      <w:r>
        <w:rPr>
          <w:bCs/>
          <w:b/>
        </w:rPr>
        <w:t xml:space="preserve">Sự hiện diện số cơ bản (Tier-1 Digital Presence)</w:t>
      </w:r>
      <w:r>
        <w:rPr>
          <w:bCs/>
          <w:b/>
        </w:rPr>
        <w:t xml:space="preserve">”</w:t>
      </w:r>
      <w:r>
        <w:t xml:space="preserve">: phạm vi hẹp hơn, khiêm tốn hơn, thừa nhận rằng Spec 1 chỉ đo</w:t>
      </w:r>
      <w:r>
        <w:t xml:space="preserve"> </w:t>
      </w:r>
      <w:r>
        <w:rPr>
          <w:iCs/>
          <w:i/>
        </w:rPr>
        <w:t xml:space="preserve">“</w:t>
      </w:r>
      <w:r>
        <w:rPr>
          <w:iCs/>
          <w:i/>
        </w:rPr>
        <w:t xml:space="preserve">bức số hóa tài liệu</w:t>
      </w:r>
      <w:r>
        <w:rPr>
          <w:iCs/>
          <w:i/>
        </w:rPr>
        <w:t xml:space="preserve">”</w:t>
      </w:r>
      <w:r>
        <w:t xml:space="preserve"> </w:t>
      </w:r>
      <w:r>
        <w:t xml:space="preserve">(website binary), KHÔNG đo thay đổi mô hình kinh doanh hay digital transformation.</w:t>
      </w:r>
    </w:p>
    <w:p>
      <w:pPr>
        <w:pStyle w:val="BodyText"/>
      </w:pPr>
      <w:r>
        <w:rPr>
          <w:bCs/>
          <w:b/>
        </w:rPr>
        <w:t xml:space="preserve">ICT exclusion test (promoted từ §2.3.1.8 I2 lên thân Chương 4)</w:t>
      </w:r>
      <w:r>
        <w:t xml:space="preserve">: Khi loại bỏ ICT firms (mã ISIC J 58–63) khỏi Advanced phân nhóm innovation-driven, hệ số âm DAI (-0,129)</w:t>
      </w:r>
      <w:r>
        <w:t xml:space="preserve"> </w:t>
      </w:r>
      <w:r>
        <w:rPr>
          <w:bCs/>
          <w:b/>
        </w:rPr>
        <w:t xml:space="preserve">biến mất</w:t>
      </w:r>
      <w:r>
        <w:t xml:space="preserve"> </w:t>
      </w:r>
      <w:r>
        <w:t xml:space="preserve">→ bằng chứng cho</w:t>
      </w:r>
      <w:r>
        <w:t xml:space="preserve"> </w:t>
      </w:r>
      <w:r>
        <w:rPr>
          <w:bCs/>
          <w:b/>
        </w:rPr>
        <w:t xml:space="preserve">bão hòa Tier-1 ở các nước tiên tiến</w:t>
      </w:r>
      <w:r>
        <w:t xml:space="preserve"> </w:t>
      </w:r>
      <w:r>
        <w:t xml:space="preserve">(Sự hiện diện số cơ bản đã saturated từ trước 2018 ở Singapore/Hong Kong/Hàn Quốc/Đài Loan/Israel, Đỗ &amp; Phan, 2026, VEFR p. 24). Việc đưa ICT exclusion test lên mạch chính (thay vì đẩy xuống phụ lục/CĐ2)</w:t>
      </w:r>
      <w:r>
        <w:t xml:space="preserve"> </w:t>
      </w:r>
      <w:r>
        <w:rPr>
          <w:bCs/>
          <w:b/>
        </w:rPr>
        <w:t xml:space="preserve">không chỉ sửa lỗi thống kê mà còn tạo ra lập luận sắc bén</w:t>
      </w:r>
      <w:r>
        <w:t xml:space="preserve">:</w:t>
      </w:r>
      <w:r>
        <w:t xml:space="preserve"> </w:t>
      </w:r>
      <w:r>
        <w:rPr>
          <w:iCs/>
          <w:i/>
        </w:rPr>
        <w:t xml:space="preserve">“</w:t>
      </w:r>
      <w:r>
        <w:rPr>
          <w:iCs/>
          <w:i/>
        </w:rPr>
        <w:t xml:space="preserve">Sự hiện diện số cơ bản đã bão hòa ở các nước tiên tiến từ lâu. Vì vậy biến này không còn discriminate năng suất giữa các firms ở Advanced.</w:t>
      </w:r>
      <w:r>
        <w:rPr>
          <w:iCs/>
          <w:i/>
        </w:rPr>
        <w:t xml:space="preserve">”</w:t>
      </w:r>
    </w:p>
    <w:p>
      <w:pPr>
        <w:pStyle w:val="BodyText"/>
      </w:pPr>
      <w:r>
        <w:rPr>
          <w:bCs/>
          <w:b/>
        </w:rPr>
        <w:t xml:space="preserve">Spec 1 vs Spec 2, biểu đồ đối chiếu hai trục thời gian</w:t>
      </w:r>
      <w:r>
        <w:t xml:space="preserve"> </w:t>
      </w:r>
      <w:r>
        <w:rPr>
          <w:iCs/>
          <w:i/>
        </w:rPr>
        <w:t xml:space="preserve">(đề xuất Hình 4.X mới, đang chuẩn bị)</w:t>
      </w:r>
      <w:r>
        <w:t xml:space="preserve">: Spec 1 (single var website binary, 2009–2025) vs Spec 2 (composite DAI 5 thành phần: website + email + smartphone POS + e-commerce + cloud, 2018–2025) trên cùng trục thời gian: chứng minh hệ sinh thái số chuyển từ</w:t>
      </w:r>
      <w:r>
        <w:t xml:space="preserve"> </w:t>
      </w:r>
      <w:r>
        <w:rPr>
          <w:bCs/>
          <w:b/>
        </w:rPr>
        <w:t xml:space="preserve">trạng thái tĩnh</w:t>
      </w:r>
      <w:r>
        <w:rPr>
          <w:bCs/>
          <w:b/>
        </w:rPr>
        <w:t xml:space="preserve"> </w:t>
      </w:r>
      <w:r>
        <w:rPr>
          <w:bCs/>
          <w:b/>
        </w:rPr>
        <w:t xml:space="preserve">“</w:t>
      </w:r>
      <w:r>
        <w:rPr>
          <w:bCs/>
          <w:b/>
        </w:rPr>
        <w:t xml:space="preserve">Tier-1 Digital Presence</w:t>
      </w:r>
      <w:r>
        <w:rPr>
          <w:bCs/>
          <w:b/>
        </w:rPr>
        <w:t xml:space="preserve">”</w:t>
      </w:r>
      <w:r>
        <w:t xml:space="preserve"> </w:t>
      </w:r>
      <w:r>
        <w:t xml:space="preserve">(chỉ documents online) sang</w:t>
      </w:r>
      <w:r>
        <w:t xml:space="preserve"> </w:t>
      </w:r>
      <w:r>
        <w:rPr>
          <w:bCs/>
          <w:b/>
        </w:rPr>
        <w:t xml:space="preserve">trạng thái động</w:t>
      </w:r>
      <w:r>
        <w:rPr>
          <w:bCs/>
          <w:b/>
        </w:rPr>
        <w:t xml:space="preserve"> </w:t>
      </w:r>
      <w:r>
        <w:rPr>
          <w:bCs/>
          <w:b/>
        </w:rPr>
        <w:t xml:space="preserve">“</w:t>
      </w:r>
      <w:r>
        <w:rPr>
          <w:bCs/>
          <w:b/>
        </w:rPr>
        <w:t xml:space="preserve">Tier-2 Digital Transformation</w:t>
      </w:r>
      <w:r>
        <w:rPr>
          <w:bCs/>
          <w:b/>
        </w:rPr>
        <w:t xml:space="preserve">”</w:t>
      </w:r>
      <w:r>
        <w:t xml:space="preserve"> </w:t>
      </w:r>
      <w:r>
        <w:t xml:space="preserve">(business models reshaped, kế thừa Banalieva &amp; Dhanaraj, 2019 layered framework).</w:t>
      </w:r>
    </w:p>
    <w:bookmarkEnd w:id="56"/>
    <w:bookmarkStart w:id="57" w:name="X38a0a6c6411b5adcdadbe8a42712fac8d35d825"/>
    <w:p>
      <w:pPr>
        <w:pStyle w:val="Heading5"/>
      </w:pPr>
      <w:r>
        <w:t xml:space="preserve">2.3.1.4.5.1 Đối chiếu DAI xuyên quốc gia — Singapore (Tier 1+2) vs Việt Nam (Tier 1 only)</w:t>
      </w:r>
    </w:p>
    <w:p>
      <w:pPr>
        <w:pStyle w:val="BlockText"/>
      </w:pPr>
      <w:r>
        <w:rPr>
          <w:bCs/>
          <w:b/>
        </w:rPr>
        <w:t xml:space="preserve">Bằng chứng nền tảng</w:t>
      </w:r>
      <w:r>
        <w:t xml:space="preserve">: §2.7 mục §2.1–§2.2 chuyên đề (Khung 4-Tier Verhoef + CDCM); phân tích Singapore; phân tích Việt Nam.</w:t>
      </w:r>
    </w:p>
    <w:p>
      <w:pPr>
        <w:pStyle w:val="FirstParagraph"/>
      </w:pPr>
      <w:r>
        <w:t xml:space="preserve">Ghi chú phân tích nội bộ của tác giả (2026) chỉ ra một</w:t>
      </w:r>
      <w:r>
        <w:t xml:space="preserve"> </w:t>
      </w:r>
      <w:r>
        <w:rPr>
          <w:bCs/>
          <w:b/>
        </w:rPr>
        <w:t xml:space="preserve">tương phản cốt lõi</w:t>
      </w:r>
      <w:r>
        <w:t xml:space="preserve"> </w:t>
      </w:r>
      <w:r>
        <w:t xml:space="preserve">giữa hai bản thảo: Singapore (Tier 1+2 = website + e-payment) cho hệ số tương tác DAI×FSTS²</w:t>
      </w:r>
      <w:r>
        <w:t xml:space="preserve"> </w:t>
      </w:r>
      <w:r>
        <w:rPr>
          <w:bCs/>
          <w:b/>
        </w:rPr>
        <w:t xml:space="preserve">dương mạnh</w:t>
      </w:r>
      <w:r>
        <w:t xml:space="preserve"> </w:t>
      </w:r>
      <w:r>
        <w:t xml:space="preserve">(β=3,119, p=,005), trong khi Việt Nam (Tier 1 = website only) cho tương tác DAI×FSTS</w:t>
      </w:r>
      <w:r>
        <w:t xml:space="preserve"> </w:t>
      </w:r>
      <w:r>
        <w:rPr>
          <w:bCs/>
          <w:b/>
        </w:rPr>
        <w:t xml:space="preserve">âm</w:t>
      </w:r>
      <w:r>
        <w:t xml:space="preserve"> </w:t>
      </w:r>
      <w:r>
        <w:t xml:space="preserve">ở wave 2023 (β=-0,912, p=,043). Đây không phải mâu thuẫn ngẫu nhiên mà là</w:t>
      </w:r>
      <w:r>
        <w:t xml:space="preserve"> </w:t>
      </w:r>
      <w:r>
        <w:rPr>
          <w:bCs/>
          <w:b/>
        </w:rPr>
        <w:t xml:space="preserve">bằng chứng cho khung CDCM</w:t>
      </w:r>
      <w:r>
        <w:t xml:space="preserve">, tức observable signature của CIMT (kênh institutional-void amplification) trong điều kiện số hóa, theo định vị phân tầng tại luận án Chương 2 §2.5. Giá trị của công cụ số phụ thuộc độ tương thích giữa cấp độ số hóa và mật độ giao dịch quốc tế:</w:t>
      </w:r>
    </w:p>
    <w:p>
      <w:pPr>
        <w:pStyle w:val="BodyText"/>
      </w:pPr>
      <w:r>
        <w:rPr>
          <w:bCs/>
          <w:b/>
        </w:rPr>
        <w:t xml:space="preserve">Bảng 4.4.5.1</w:t>
      </w:r>
      <w:r>
        <w:t xml:space="preserve">.</w:t>
      </w:r>
      <w:r>
        <w:t xml:space="preserve"> </w:t>
      </w:r>
      <w:r>
        <w:rPr>
          <w:iCs/>
          <w:i/>
        </w:rPr>
        <w:t xml:space="preserve">Đối chiếu cơ chế DAI giữa hai bối cảnh thể chế (CDCM application).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t xml:space="preserve">Singapore (Advanced innovation, 2023)</w:t>
            </w:r>
          </w:p>
        </w:tc>
        <w:tc>
          <w:tcPr/>
          <w:p>
            <w:pPr>
              <w:pStyle w:val="Compact"/>
              <w:jc w:val="left"/>
            </w:pPr>
            <w:r>
              <w:t xml:space="preserve">Việt Nam (Emerging, 2009-2023)</w:t>
            </w:r>
          </w:p>
        </w:tc>
      </w:tr>
      <w:tr>
        <w:tc>
          <w:tcPr/>
          <w:p>
            <w:pPr>
              <w:pStyle w:val="Compact"/>
              <w:jc w:val="left"/>
            </w:pPr>
            <w:r>
              <w:rPr>
                <w:bCs/>
                <w:b/>
              </w:rPr>
              <w:t xml:space="preserve">Cấp DAI</w:t>
            </w:r>
          </w:p>
        </w:tc>
        <w:tc>
          <w:tcPr/>
          <w:p>
            <w:pPr>
              <w:pStyle w:val="Compact"/>
              <w:jc w:val="left"/>
            </w:pPr>
            <w:r>
              <w:t xml:space="preserve">Tier 1+2 (website + cường độ thanh toán điện tử)</w:t>
            </w:r>
          </w:p>
        </w:tc>
        <w:tc>
          <w:tcPr/>
          <w:p>
            <w:pPr>
              <w:pStyle w:val="Compact"/>
              <w:jc w:val="left"/>
            </w:pPr>
            <w:r>
              <w:t xml:space="preserve">Tier 1 (website only)</w:t>
            </w:r>
          </w:p>
        </w:tc>
      </w:tr>
      <w:tr>
        <w:tc>
          <w:tcPr/>
          <w:p>
            <w:pPr>
              <w:pStyle w:val="Compact"/>
              <w:jc w:val="left"/>
            </w:pPr>
            <w:r>
              <w:rPr>
                <w:bCs/>
                <w:b/>
              </w:rPr>
              <w:t xml:space="preserve">Mẫu</w:t>
            </w:r>
          </w:p>
        </w:tc>
        <w:tc>
          <w:tcPr/>
          <w:p>
            <w:pPr>
              <w:pStyle w:val="Compact"/>
              <w:jc w:val="left"/>
            </w:pPr>
            <w:r>
              <w:t xml:space="preserve">n=623, cắt ngang 1 năm</w:t>
            </w:r>
          </w:p>
        </w:tc>
        <w:tc>
          <w:tcPr/>
          <w:p>
            <w:pPr>
              <w:pStyle w:val="Compact"/>
              <w:jc w:val="left"/>
            </w:pPr>
            <w:r>
              <w:t xml:space="preserve">n=2.958 firms × 3 wave</w:t>
            </w:r>
          </w:p>
        </w:tc>
      </w:tr>
      <w:tr>
        <w:tc>
          <w:tcPr/>
          <w:p>
            <w:pPr>
              <w:pStyle w:val="Compact"/>
              <w:jc w:val="left"/>
            </w:pPr>
            <w:r>
              <w:rPr>
                <w:bCs/>
                <w:b/>
              </w:rPr>
              <w:t xml:space="preserve">DAI direct effect</w:t>
            </w:r>
          </w:p>
        </w:tc>
        <w:tc>
          <w:tcPr/>
          <w:p>
            <w:pPr>
              <w:pStyle w:val="Compact"/>
              <w:jc w:val="left"/>
            </w:pPr>
            <w:r>
              <w:t xml:space="preserve">β=0,168, p&lt;,001 (dương ổn định)</w:t>
            </w:r>
          </w:p>
        </w:tc>
        <w:tc>
          <w:tcPr/>
          <w:p>
            <w:pPr>
              <w:pStyle w:val="Compact"/>
              <w:jc w:val="left"/>
            </w:pPr>
            <w:r>
              <w:t xml:space="preserve">Stage-contingent: 2009 mạnh → 2015 null (β=-0,044, p=,377) → 2023 phục hồi</w:t>
            </w:r>
          </w:p>
        </w:tc>
      </w:tr>
      <w:tr>
        <w:tc>
          <w:tcPr/>
          <w:p>
            <w:pPr>
              <w:pStyle w:val="Compact"/>
              <w:jc w:val="left"/>
            </w:pPr>
            <w:r>
              <w:rPr>
                <w:bCs/>
                <w:b/>
              </w:rPr>
              <w:t xml:space="preserve">DAI × FSTS² interaction</w:t>
            </w:r>
          </w:p>
        </w:tc>
        <w:tc>
          <w:tcPr/>
          <w:p>
            <w:pPr>
              <w:pStyle w:val="Compact"/>
              <w:jc w:val="left"/>
            </w:pPr>
            <w:r>
              <w:rPr>
                <w:bCs/>
                <w:b/>
              </w:rPr>
              <w:t xml:space="preserve">β=3,119, p=,005 (dương mạnh)</w:t>
            </w:r>
            <w:r>
              <w:t xml:space="preserve"> </w:t>
            </w:r>
            <w:r>
              <w:t xml:space="preserve">— conditional scaling resource ở xuất khẩu cao</w:t>
            </w:r>
          </w:p>
        </w:tc>
        <w:tc>
          <w:tcPr/>
          <w:p>
            <w:pPr>
              <w:pStyle w:val="Compact"/>
              <w:jc w:val="left"/>
            </w:pPr>
            <w:r>
              <w:rPr>
                <w:bCs/>
                <w:b/>
              </w:rPr>
              <w:t xml:space="preserve">β=-0,912, p=,043 (âm) ở 2023</w:t>
            </w:r>
            <w:r>
              <w:t xml:space="preserve"> </w:t>
            </w:r>
            <w:r>
              <w:t xml:space="preserve">— Tier 1 trở thành điểm nghẽn ở xuất khẩu cao</w:t>
            </w:r>
          </w:p>
        </w:tc>
      </w:tr>
      <w:tr>
        <w:tc>
          <w:tcPr/>
          <w:p>
            <w:pPr>
              <w:pStyle w:val="Compact"/>
              <w:jc w:val="left"/>
            </w:pPr>
            <w:r>
              <w:rPr>
                <w:bCs/>
                <w:b/>
              </w:rPr>
              <w:t xml:space="preserve">2SLS robustness (DAI)</w:t>
            </w:r>
          </w:p>
        </w:tc>
        <w:tc>
          <w:tcPr/>
          <w:p>
            <w:pPr>
              <w:pStyle w:val="Compact"/>
              <w:jc w:val="left"/>
            </w:pPr>
            <w:r>
              <w:t xml:space="preserve">(chưa kiểm định IV)</w:t>
            </w:r>
          </w:p>
        </w:tc>
        <w:tc>
          <w:tcPr/>
          <w:p>
            <w:pPr>
              <w:pStyle w:val="Compact"/>
              <w:jc w:val="left"/>
            </w:pPr>
            <w:r>
              <w:t xml:space="preserve">β co về 0,02, p=,94 —</w:t>
            </w:r>
            <w:r>
              <w:t xml:space="preserve"> </w:t>
            </w:r>
            <w:r>
              <w:rPr>
                <w:bCs/>
                <w:b/>
              </w:rPr>
              <w:t xml:space="preserve">không xác lập nhân quả</w:t>
            </w:r>
          </w:p>
        </w:tc>
      </w:tr>
      <w:tr>
        <w:tc>
          <w:tcPr/>
          <w:p>
            <w:pPr>
              <w:pStyle w:val="Compact"/>
              <w:jc w:val="left"/>
            </w:pPr>
            <w:r>
              <w:rPr>
                <w:bCs/>
                <w:b/>
              </w:rPr>
              <w:t xml:space="preserve">Cơ chế giải thích</w:t>
            </w:r>
          </w:p>
        </w:tc>
        <w:tc>
          <w:tcPr/>
          <w:p>
            <w:pPr>
              <w:pStyle w:val="Compact"/>
              <w:jc w:val="left"/>
            </w:pPr>
            <w:r>
              <w:t xml:space="preserve">Tier 1+2 hấp thụ super-linear coordination cost xuất khẩu cao (Brynjolfsson &amp; McAfee, 2014)</w:t>
            </w:r>
          </w:p>
        </w:tc>
        <w:tc>
          <w:tcPr/>
          <w:p>
            <w:pPr>
              <w:pStyle w:val="Compact"/>
              <w:jc w:val="left"/>
            </w:pPr>
            <w:r>
              <w:t xml:space="preserve">Tier 1 không quản lý nổi giao dịch lớn → khuếch đại quá tải thông tin</w:t>
            </w:r>
          </w:p>
        </w:tc>
      </w:tr>
    </w:tbl>
    <w:p>
      <w:pPr>
        <w:pStyle w:val="BodyText"/>
      </w:pPr>
      <w:r>
        <w:rPr>
          <w:iCs/>
          <w:i/>
        </w:rPr>
        <w:t xml:space="preserve">Ghi chú cỡ mẫu: Việt Nam n=2.958 là mẫu phụ đủ biến hồi quy (complete-case), nhỏ hơn tổng n=3.077 doanh nghiệp Việt Nam trong pool (chênh 119 doanh nghiệp, 3,9%) do dữ liệu khuyết ở một số biến giải thích, xem ghi chú đối chiếu cỡ mẫu tại §2.3.2.3 mục §2.3.2–§2.4 chuyên đề.</w:t>
      </w:r>
    </w:p>
    <w:p>
      <w:pPr>
        <w:pStyle w:val="BodyText"/>
      </w:pPr>
      <w:r>
        <w:rPr>
          <w:bCs/>
          <w:b/>
        </w:rPr>
        <w:t xml:space="preserve">Hàm ý cho lập luận §2.3.1.4.5 hiện hành</w:t>
      </w:r>
      <w:r>
        <w:t xml:space="preserve">: Hệ số âm DAI ở Advanced trong Spec 1 (-0,129) không chỉ là</w:t>
      </w:r>
      <w:r>
        <w:t xml:space="preserve"> </w:t>
      </w:r>
      <w:r>
        <w:rPr>
          <w:iCs/>
          <w:i/>
        </w:rPr>
        <w:t xml:space="preserve">artifact của Tier-1 saturation</w:t>
      </w:r>
      <w:r>
        <w:t xml:space="preserve"> </w:t>
      </w:r>
      <w:r>
        <w:t xml:space="preserve">(đã lập luận ở §2.3.1.4.5) mà còn phản ánh</w:t>
      </w:r>
      <w:r>
        <w:t xml:space="preserve"> </w:t>
      </w:r>
      <w:r>
        <w:rPr>
          <w:bCs/>
          <w:b/>
        </w:rPr>
        <w:t xml:space="preserve">gãy đổ đo lường</w:t>
      </w:r>
      <w:r>
        <w:t xml:space="preserve"> </w:t>
      </w:r>
      <w:r>
        <w:t xml:space="preserve">(measurement break) khi Tier 1 không đủ sức quản lý giao dịch ở xuất khẩu cao. Khi mở rộng sang Tier 1+2 (Spec 2 với e-payment), hệ số dương mạnh emerges, replication pattern Singapore phân tích Singapore.</w:t>
      </w:r>
    </w:p>
    <w:p>
      <w:pPr>
        <w:pStyle w:val="BodyText"/>
      </w:pPr>
      <w:r>
        <w:rPr>
          <w:bCs/>
          <w:b/>
        </w:rPr>
        <w:t xml:space="preserve">Đề xuất phương pháp luận cho CĐ2</w:t>
      </w:r>
      <w:r>
        <w:t xml:space="preserve"> </w:t>
      </w:r>
      <w:r>
        <w:rPr>
          <w:iCs/>
          <w:i/>
        </w:rPr>
        <w:t xml:space="preserve">(robustness check #10)</w:t>
      </w:r>
      <w:r>
        <w:t xml:space="preserve">: Cross-validation construct boundary: chạy Spec 2 chỉ ở 41 nước có đủ Tier 1+2 data (BREADY+ wave); confirm rằng pattern Singapore-style (DAI × FSTS² dương) emerges khi có composite digital adoption metric. Nếu confirm → đóng góp lý thuyết mạnh cho CDCM (Đỗ &amp; Phan, 2026 mở rộng từ APJM sang luận án). Nếu không confirm → cần Tier 3 (ERP/CRM) hoặc Tier 4 (AI) để nắm cơ chế thực sự, hàm ý cho data collection tương lai (limitations §2.4.3.4 mục §2.3.2–§2.4 chuyên đề).</w:t>
      </w:r>
    </w:p>
    <w:bookmarkEnd w:id="57"/>
    <w:bookmarkStart w:id="61" w:name="thực-trạng-cấu-trúc-doanh-nghiệp"/>
    <w:p>
      <w:pPr>
        <w:pStyle w:val="Heading5"/>
      </w:pPr>
      <w:r>
        <w:t xml:space="preserve">2.3.1.5 Thực trạng cấu trúc doanh nghiệp</w:t>
      </w:r>
    </w:p>
    <w:p>
      <w:pPr>
        <w:pStyle w:val="FirstParagraph"/>
      </w:pPr>
      <w:r>
        <w:rPr>
          <w:bCs/>
          <w:b/>
        </w:rPr>
        <w:t xml:space="preserve">Bảng 4.5</w:t>
      </w:r>
      <w:r>
        <w:t xml:space="preserve">.</w:t>
      </w:r>
      <w:r>
        <w:t xml:space="preserve"> </w:t>
      </w:r>
      <w:r>
        <w:rPr>
          <w:iCs/>
          <w:i/>
        </w:rPr>
        <w:t xml:space="preserve">Cấu trúc doanh nghiệp theo phân nhóm con (%).</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SME</w:t>
            </w:r>
          </w:p>
        </w:tc>
        <w:tc>
          <w:tcPr/>
          <w:p>
            <w:pPr>
              <w:pStyle w:val="Compact"/>
              <w:jc w:val="left"/>
            </w:pPr>
            <w:r>
              <w:t xml:space="preserve">Doanh nghiệp xuất khẩu</w:t>
            </w:r>
          </w:p>
        </w:tc>
        <w:tc>
          <w:tcPr/>
          <w:p>
            <w:pPr>
              <w:pStyle w:val="Compact"/>
              <w:jc w:val="left"/>
            </w:pPr>
            <w:r>
              <w:t xml:space="preserve">FDI ≥10%</w:t>
            </w:r>
          </w:p>
        </w:tc>
      </w:tr>
      <w:tr>
        <w:tc>
          <w:tcPr/>
          <w:p>
            <w:pPr>
              <w:pStyle w:val="Compact"/>
              <w:jc w:val="left"/>
            </w:pPr>
            <w:r>
              <w:t xml:space="preserve">Advanced</w:t>
            </w:r>
          </w:p>
        </w:tc>
        <w:tc>
          <w:tcPr/>
          <w:p>
            <w:pPr>
              <w:pStyle w:val="Compact"/>
              <w:jc w:val="left"/>
            </w:pPr>
            <w:r>
              <w:t xml:space="preserve">79,1</w:t>
            </w:r>
          </w:p>
        </w:tc>
        <w:tc>
          <w:tcPr/>
          <w:p>
            <w:pPr>
              <w:pStyle w:val="Compact"/>
              <w:jc w:val="left"/>
            </w:pPr>
            <w:r>
              <w:t xml:space="preserve">23,0</w:t>
            </w:r>
          </w:p>
        </w:tc>
        <w:tc>
          <w:tcPr/>
          <w:p>
            <w:pPr>
              <w:pStyle w:val="Compact"/>
              <w:jc w:val="left"/>
            </w:pPr>
            <w:r>
              <w:t xml:space="preserve">11,1</w:t>
            </w:r>
          </w:p>
        </w:tc>
      </w:tr>
      <w:tr>
        <w:tc>
          <w:tcPr/>
          <w:p>
            <w:pPr>
              <w:pStyle w:val="Compact"/>
              <w:jc w:val="left"/>
            </w:pPr>
            <w:r>
              <w:t xml:space="preserve">Upper-middle</w:t>
            </w:r>
          </w:p>
        </w:tc>
        <w:tc>
          <w:tcPr/>
          <w:p>
            <w:pPr>
              <w:pStyle w:val="Compact"/>
              <w:jc w:val="left"/>
            </w:pPr>
            <w:r>
              <w:t xml:space="preserve">76,2</w:t>
            </w:r>
          </w:p>
        </w:tc>
        <w:tc>
          <w:tcPr/>
          <w:p>
            <w:pPr>
              <w:pStyle w:val="Compact"/>
              <w:jc w:val="left"/>
            </w:pPr>
            <w:r>
              <w:t xml:space="preserve">21,7</w:t>
            </w:r>
          </w:p>
        </w:tc>
        <w:tc>
          <w:tcPr/>
          <w:p>
            <w:pPr>
              <w:pStyle w:val="Compact"/>
              <w:jc w:val="left"/>
            </w:pPr>
            <w:r>
              <w:t xml:space="preserve">8,4</w:t>
            </w:r>
          </w:p>
        </w:tc>
      </w:tr>
      <w:tr>
        <w:tc>
          <w:tcPr/>
          <w:p>
            <w:pPr>
              <w:pStyle w:val="Compact"/>
              <w:jc w:val="left"/>
            </w:pPr>
            <w:r>
              <w:t xml:space="preserve">Emerging</w:t>
            </w:r>
          </w:p>
        </w:tc>
        <w:tc>
          <w:tcPr/>
          <w:p>
            <w:pPr>
              <w:pStyle w:val="Compact"/>
              <w:jc w:val="left"/>
            </w:pPr>
            <w:r>
              <w:t xml:space="preserve">74,4</w:t>
            </w:r>
          </w:p>
        </w:tc>
        <w:tc>
          <w:tcPr/>
          <w:p>
            <w:pPr>
              <w:pStyle w:val="Compact"/>
              <w:jc w:val="left"/>
            </w:pPr>
            <w:r>
              <w:t xml:space="preserve">15,5</w:t>
            </w:r>
          </w:p>
        </w:tc>
        <w:tc>
          <w:tcPr/>
          <w:p>
            <w:pPr>
              <w:pStyle w:val="Compact"/>
              <w:jc w:val="left"/>
            </w:pPr>
            <w:r>
              <w:t xml:space="preserve">4,7</w:t>
            </w:r>
          </w:p>
        </w:tc>
      </w:tr>
      <w:tr>
        <w:tc>
          <w:tcPr/>
          <w:p>
            <w:pPr>
              <w:pStyle w:val="Compact"/>
              <w:jc w:val="left"/>
            </w:pPr>
            <w:r>
              <w:t xml:space="preserve">Frontier</w:t>
            </w:r>
          </w:p>
        </w:tc>
        <w:tc>
          <w:tcPr/>
          <w:p>
            <w:pPr>
              <w:pStyle w:val="Compact"/>
              <w:jc w:val="left"/>
            </w:pPr>
            <w:r>
              <w:t xml:space="preserve">85,0</w:t>
            </w:r>
          </w:p>
        </w:tc>
        <w:tc>
          <w:tcPr/>
          <w:p>
            <w:pPr>
              <w:pStyle w:val="Compact"/>
              <w:jc w:val="left"/>
            </w:pPr>
            <w:r>
              <w:t xml:space="preserve">16,5</w:t>
            </w:r>
          </w:p>
        </w:tc>
        <w:tc>
          <w:tcPr/>
          <w:p>
            <w:pPr>
              <w:pStyle w:val="Compact"/>
              <w:jc w:val="left"/>
            </w:pPr>
            <w:r>
              <w:t xml:space="preserve">5,9</w:t>
            </w:r>
          </w:p>
        </w:tc>
      </w:tr>
      <w:tr>
        <w:tc>
          <w:tcPr/>
          <w:p>
            <w:pPr>
              <w:pStyle w:val="Compact"/>
              <w:jc w:val="left"/>
            </w:pPr>
            <w:r>
              <w:t xml:space="preserve">SIDS Thái Bình Dương</w:t>
            </w:r>
          </w:p>
        </w:tc>
        <w:tc>
          <w:tcPr/>
          <w:p>
            <w:pPr>
              <w:pStyle w:val="Compact"/>
              <w:jc w:val="left"/>
            </w:pPr>
            <w:r>
              <w:rPr>
                <w:bCs/>
                <w:b/>
              </w:rPr>
              <w:t xml:space="preserve">88,5</w:t>
            </w:r>
          </w:p>
        </w:tc>
        <w:tc>
          <w:tcPr/>
          <w:p>
            <w:pPr>
              <w:pStyle w:val="Compact"/>
              <w:jc w:val="left"/>
            </w:pPr>
            <w:r>
              <w:t xml:space="preserve">16,3</w:t>
            </w:r>
          </w:p>
        </w:tc>
        <w:tc>
          <w:tcPr/>
          <w:p>
            <w:pPr>
              <w:pStyle w:val="Compact"/>
              <w:jc w:val="left"/>
            </w:pPr>
            <w:r>
              <w:rPr>
                <w:bCs/>
                <w:b/>
              </w:rPr>
              <w:t xml:space="preserve">23,5</w:t>
            </w:r>
          </w:p>
        </w:tc>
      </w:tr>
    </w:tbl>
    <w:p>
      <w:pPr>
        <w:pStyle w:val="BodyText"/>
      </w:pPr>
      <w:r>
        <w:t xml:space="preserve">Tỷ lệ FDI có dạng chữ U với cực tiểu ở Emerging. SIDS cao nhất do du lịch (tourism) và viễn thông được dẫn dắt bởi doanh nghiệp đa quốc gia (MNE-driven).</w:t>
      </w:r>
    </w:p>
    <w:p>
      <w:pPr>
        <w:pStyle w:val="CaptionedFigure"/>
      </w:pPr>
      <w:r>
        <w:drawing>
          <wp:inline>
            <wp:extent cx="5753100" cy="3545232"/>
            <wp:effectExtent b="0" l="0" r="0" t="0"/>
            <wp:docPr descr="Hình 4.6, Phân phối quy mô doanh nghiệp theo phân nhóm con (n=101.185)" title="" id="59" name="Picture"/>
            <a:graphic>
              <a:graphicData uri="http://schemas.openxmlformats.org/drawingml/2006/picture">
                <pic:pic>
                  <pic:nvPicPr>
                    <pic:cNvPr descr="figures/fig_4_6_firm_size.png" id="60" name="Picture"/>
                    <pic:cNvPicPr>
                      <a:picLocks noChangeArrowheads="1" noChangeAspect="1"/>
                    </pic:cNvPicPr>
                  </pic:nvPicPr>
                  <pic:blipFill>
                    <a:blip r:embed="rId58"/>
                    <a:stretch>
                      <a:fillRect/>
                    </a:stretch>
                  </pic:blipFill>
                  <pic:spPr bwMode="auto">
                    <a:xfrm>
                      <a:off x="0" y="0"/>
                      <a:ext cx="5753100" cy="3545232"/>
                    </a:xfrm>
                    <a:prstGeom prst="rect">
                      <a:avLst/>
                    </a:prstGeom>
                    <a:noFill/>
                    <a:ln w="9525">
                      <a:noFill/>
                      <a:headEnd/>
                      <a:tailEnd/>
                    </a:ln>
                  </pic:spPr>
                </pic:pic>
              </a:graphicData>
            </a:graphic>
          </wp:inline>
        </w:drawing>
      </w:r>
    </w:p>
    <w:p>
      <w:pPr>
        <w:pStyle w:val="ImageCaption"/>
      </w:pPr>
      <w:r>
        <w:t xml:space="preserve">Hình 4.6, Phân phối quy mô doanh nghiệp theo phân nhóm con (n=101.185)</w:t>
      </w:r>
    </w:p>
    <w:p>
      <w:pPr>
        <w:pStyle w:val="BodyText"/>
      </w:pPr>
      <w:r>
        <w:rPr>
          <w:iCs/>
          <w:i/>
        </w:rPr>
        <w:t xml:space="preserve">Hình 4.6. Stacked bar chart cho thấy SIDS Pacific có tỷ lệ SME cao nhất (88,5%), Frontier kế tiếp (85,0%), Advanced thấp nhất (79,1%). Pattern phù hợp với cấu trúc kinh tế khu vực — SIDS thị trường nhỏ phụ thuộc SME; Advanced có nhiều doanh nghiệp lớn.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fig_4_6_firm_size()</w:t>
      </w:r>
      <w:r>
        <w:rPr>
          <w:iCs/>
          <w:i/>
        </w:rPr>
        <w:t xml:space="preserve">.</w:t>
      </w:r>
    </w:p>
    <w:bookmarkEnd w:id="61"/>
    <w:bookmarkStart w:id="62" w:name="X59024c0b6ba75f32b72136ec1a93cd061cbee07"/>
    <w:p>
      <w:pPr>
        <w:pStyle w:val="Heading5"/>
      </w:pPr>
      <w:r>
        <w:t xml:space="preserve">2.3.1.5.5 Bốn rào cản hàng đầu của khu vực tư nhân Á-Thái — bằng chứng từ WBES</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7 #61.</w:t>
      </w:r>
    </w:p>
    <w:p>
      <w:pPr>
        <w:pStyle w:val="FirstParagraph"/>
      </w:pPr>
      <w:r>
        <w:t xml:space="preserve">WBES chính thức xác định</w:t>
      </w:r>
      <w:r>
        <w:t xml:space="preserve"> </w:t>
      </w:r>
      <w:r>
        <w:rPr>
          <w:bCs/>
          <w:b/>
        </w:rPr>
        <w:t xml:space="preserve">4 rào cản hàng đầu (top 4 barriers)</w:t>
      </w:r>
      <w:r>
        <w:t xml:space="preserve"> </w:t>
      </w:r>
      <w:r>
        <w:t xml:space="preserve">đối với khu vực tư nhân ở các nền kinh tế đang phát triển và mới nổi Á-Thái Bình Dương, phù hợp với pool 101.185 doanh nghiệp của chuyên đề này. Bốn rào cản này tạo thành</w:t>
      </w:r>
      <w:r>
        <w:t xml:space="preserve"> </w:t>
      </w:r>
      <w:r>
        <w:rPr>
          <w:bCs/>
          <w:b/>
        </w:rPr>
        <w:t xml:space="preserve">khung phân tích cấu trúc</w:t>
      </w:r>
      <w:r>
        <w:t xml:space="preserve"> </w:t>
      </w:r>
      <w:r>
        <w:t xml:space="preserve">(structural framework) bổ sung cho 5 lĩnh vực chỉ số WBES được phân tích trong §2.3.1.4 (đổi mới + năng lực số) và §2.3.1.5 (cấu trúc doanh nghiệp). Bảng phân tầng theo 4 phân nhóm con thể chế:</w:t>
      </w:r>
    </w:p>
    <w:p>
      <w:pPr>
        <w:pStyle w:val="BodyText"/>
      </w:pPr>
      <w:r>
        <w:rPr>
          <w:bCs/>
          <w:b/>
        </w:rPr>
        <w:t xml:space="preserve">Bảng 4.5.5</w:t>
      </w:r>
      <w:r>
        <w:t xml:space="preserve">.</w:t>
      </w:r>
      <w:r>
        <w:t xml:space="preserve"> </w:t>
      </w:r>
      <w:r>
        <w:rPr>
          <w:iCs/>
          <w:i/>
        </w:rPr>
        <w:t xml:space="preserve">Bốn rào cản hàng đầu Asia-Pacific WBES, phân tầng theo phân nhóm con thể chế (cảm quan định tính + vào sâu chương trình CĐ2).</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w:t>
            </w:r>
          </w:p>
        </w:tc>
        <w:tc>
          <w:tcPr/>
          <w:p>
            <w:pPr>
              <w:pStyle w:val="Compact"/>
              <w:jc w:val="left"/>
            </w:pPr>
            <w:r>
              <w:t xml:space="preserve">Rào cản</w:t>
            </w:r>
          </w:p>
        </w:tc>
        <w:tc>
          <w:tcPr/>
          <w:p>
            <w:pPr>
              <w:pStyle w:val="Compact"/>
              <w:jc w:val="left"/>
            </w:pPr>
            <w:r>
              <w:t xml:space="preserve">Tiếng Anh chuẩn WB</w:t>
            </w:r>
          </w:p>
        </w:tc>
        <w:tc>
          <w:tcPr/>
          <w:p>
            <w:pPr>
              <w:pStyle w:val="Compact"/>
              <w:jc w:val="left"/>
            </w:pPr>
            <w:r>
              <w:t xml:space="preserve">Cường độ Frontier</w:t>
            </w:r>
          </w:p>
        </w:tc>
        <w:tc>
          <w:tcPr/>
          <w:p>
            <w:pPr>
              <w:pStyle w:val="Compact"/>
              <w:jc w:val="left"/>
            </w:pPr>
            <w:r>
              <w:t xml:space="preserve">Cường độ Emerging</w:t>
            </w:r>
          </w:p>
        </w:tc>
        <w:tc>
          <w:tcPr/>
          <w:p>
            <w:pPr>
              <w:pStyle w:val="Compact"/>
              <w:jc w:val="left"/>
            </w:pPr>
            <w:r>
              <w:t xml:space="preserve">Cường độ Upper-middle</w:t>
            </w:r>
          </w:p>
        </w:tc>
        <w:tc>
          <w:tcPr/>
          <w:p>
            <w:pPr>
              <w:pStyle w:val="Compact"/>
              <w:jc w:val="left"/>
            </w:pPr>
            <w:r>
              <w:t xml:space="preserve">Cường độ Advanced</w:t>
            </w:r>
          </w:p>
        </w:tc>
        <w:tc>
          <w:tcPr/>
          <w:p>
            <w:pPr>
              <w:pStyle w:val="Compact"/>
              <w:jc w:val="left"/>
            </w:pPr>
            <w:r>
              <w:t xml:space="preserve">Lý thuyết liên kết</w:t>
            </w:r>
          </w:p>
        </w:tc>
      </w:tr>
      <w:tr>
        <w:tc>
          <w:tcPr/>
          <w:p>
            <w:pPr>
              <w:pStyle w:val="Compact"/>
              <w:jc w:val="left"/>
            </w:pPr>
            <w:r>
              <w:t xml:space="preserve">(1)</w:t>
            </w:r>
          </w:p>
        </w:tc>
        <w:tc>
          <w:tcPr/>
          <w:p>
            <w:pPr>
              <w:pStyle w:val="Compact"/>
              <w:jc w:val="left"/>
            </w:pPr>
            <w:r>
              <w:rPr>
                <w:bCs/>
                <w:b/>
              </w:rPr>
              <w:t xml:space="preserve">Tiếp cận tài chính</w:t>
            </w:r>
            <w:r>
              <w:t xml:space="preserve"> </w:t>
            </w:r>
            <w:r>
              <w:rPr>
                <w:iCs/>
                <w:i/>
              </w:rPr>
              <w:t xml:space="preserve">(Hạn chế tín dụng)</w:t>
            </w:r>
          </w:p>
        </w:tc>
        <w:tc>
          <w:tcPr/>
          <w:p>
            <w:pPr>
              <w:pStyle w:val="Compact"/>
              <w:jc w:val="left"/>
            </w:pPr>
            <w:r>
              <w:t xml:space="preserve">Credit constraint / Access to finance</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Aguinis et al. (2011) — formative composite measurement; Coltman et al. (2008) construct validation cho credit access</w:t>
            </w:r>
          </w:p>
        </w:tc>
      </w:tr>
      <w:tr>
        <w:tc>
          <w:tcPr/>
          <w:p>
            <w:pPr>
              <w:pStyle w:val="Compact"/>
              <w:jc w:val="left"/>
            </w:pPr>
            <w:r>
              <w:t xml:space="preserve">(2)</w:t>
            </w:r>
          </w:p>
        </w:tc>
        <w:tc>
          <w:tcPr/>
          <w:p>
            <w:pPr>
              <w:pStyle w:val="Compact"/>
              <w:jc w:val="left"/>
            </w:pPr>
            <w:r>
              <w:rPr>
                <w:bCs/>
                <w:b/>
              </w:rPr>
              <w:t xml:space="preserve">Lực lượng lao động thiếu kỹ năng</w:t>
            </w:r>
          </w:p>
        </w:tc>
        <w:tc>
          <w:tcPr/>
          <w:p>
            <w:pPr>
              <w:pStyle w:val="Compact"/>
              <w:jc w:val="left"/>
            </w:pPr>
            <w:r>
              <w:t xml:space="preserve">Skilled labor shortage / Workforce skill gap</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Cohen &amp; Levinthal (1990) — absorptive capacity; Kafouros et al. (2023) — institutional quality moderation tech-dynamism</w:t>
            </w:r>
          </w:p>
        </w:tc>
      </w:tr>
      <w:tr>
        <w:tc>
          <w:tcPr/>
          <w:p>
            <w:pPr>
              <w:pStyle w:val="Compact"/>
              <w:jc w:val="left"/>
            </w:pPr>
            <w:r>
              <w:t xml:space="preserve">(3)</w:t>
            </w:r>
          </w:p>
        </w:tc>
        <w:tc>
          <w:tcPr/>
          <w:p>
            <w:pPr>
              <w:pStyle w:val="Compact"/>
              <w:jc w:val="left"/>
            </w:pPr>
            <w:r>
              <w:rPr>
                <w:bCs/>
                <w:b/>
              </w:rPr>
              <w:t xml:space="preserve">Cạnh tranh từ doanh nghiệp phi chính thức</w:t>
            </w:r>
          </w:p>
        </w:tc>
        <w:tc>
          <w:tcPr/>
          <w:p>
            <w:pPr>
              <w:pStyle w:val="Compact"/>
              <w:jc w:val="left"/>
            </w:pPr>
            <w:r>
              <w:t xml:space="preserve">Informal sector competition</w:t>
            </w:r>
          </w:p>
        </w:tc>
        <w:tc>
          <w:tcPr/>
          <w:p>
            <w:pPr>
              <w:pStyle w:val="Compact"/>
              <w:jc w:val="left"/>
            </w:pPr>
            <w:r>
              <w:t xml:space="preserve">Cao</w:t>
            </w:r>
          </w:p>
        </w:tc>
        <w:tc>
          <w:tcPr/>
          <w:p>
            <w:pPr>
              <w:pStyle w:val="Compact"/>
              <w:jc w:val="left"/>
            </w:pPr>
            <w:r>
              <w:t xml:space="preserve">Cao</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Khanna &amp; Palepu (2010) — institutional voids; La Porta &amp; Shleifer (2008, 2014) shadow economy share</w:t>
            </w:r>
          </w:p>
        </w:tc>
      </w:tr>
      <w:tr>
        <w:tc>
          <w:tcPr/>
          <w:p>
            <w:pPr>
              <w:pStyle w:val="Compact"/>
              <w:jc w:val="left"/>
            </w:pPr>
            <w:r>
              <w:t xml:space="preserve">(4)</w:t>
            </w:r>
          </w:p>
        </w:tc>
        <w:tc>
          <w:tcPr/>
          <w:p>
            <w:pPr>
              <w:pStyle w:val="Compact"/>
              <w:jc w:val="left"/>
            </w:pPr>
            <w:r>
              <w:rPr>
                <w:bCs/>
                <w:b/>
              </w:rPr>
              <w:t xml:space="preserve">Nguồn cung điện không đáng tin cậy</w:t>
            </w:r>
          </w:p>
        </w:tc>
        <w:tc>
          <w:tcPr/>
          <w:p>
            <w:pPr>
              <w:pStyle w:val="Compact"/>
              <w:jc w:val="left"/>
            </w:pPr>
            <w:r>
              <w:t xml:space="preserve">Unreliable electricity supply / Power outages</w:t>
            </w:r>
          </w:p>
        </w:tc>
        <w:tc>
          <w:tcPr/>
          <w:p>
            <w:pPr>
              <w:pStyle w:val="Compact"/>
              <w:jc w:val="left"/>
            </w:pPr>
            <w:r>
              <w:t xml:space="preserve">Cao (đặc biệt SIDS, Frontier)</w:t>
            </w:r>
          </w:p>
        </w:tc>
        <w:tc>
          <w:tcPr/>
          <w:p>
            <w:pPr>
              <w:pStyle w:val="Compact"/>
              <w:jc w:val="left"/>
            </w:pPr>
            <w:r>
              <w:t xml:space="preserve">Trung bình</w:t>
            </w:r>
          </w:p>
        </w:tc>
        <w:tc>
          <w:tcPr/>
          <w:p>
            <w:pPr>
              <w:pStyle w:val="Compact"/>
              <w:jc w:val="left"/>
            </w:pPr>
            <w:r>
              <w:t xml:space="preserve">Thấp</w:t>
            </w:r>
          </w:p>
        </w:tc>
        <w:tc>
          <w:tcPr/>
          <w:p>
            <w:pPr>
              <w:pStyle w:val="Compact"/>
              <w:jc w:val="left"/>
            </w:pPr>
            <w:r>
              <w:t xml:space="preserve">Thấp</w:t>
            </w:r>
          </w:p>
        </w:tc>
        <w:tc>
          <w:tcPr/>
          <w:p>
            <w:pPr>
              <w:pStyle w:val="Compact"/>
              <w:jc w:val="left"/>
            </w:pPr>
            <w:r>
              <w:t xml:space="preserve">IFC PSD Blueprint operational resources pillar; Banerjee &amp; Duflo (2014) infrastructure productivity links</w:t>
            </w:r>
          </w:p>
        </w:tc>
      </w:tr>
    </w:tbl>
    <w:p>
      <w:pPr>
        <w:pStyle w:val="BodyText"/>
      </w:pPr>
      <w:r>
        <w:rPr>
          <w:bCs/>
          <w:b/>
        </w:rPr>
        <w:t xml:space="preserve">Bốn nhận xét</w:t>
      </w:r>
      <w:r>
        <w:t xml:space="preserve"> </w:t>
      </w:r>
      <w:r>
        <w:t xml:space="preserve">(cập nhật theo WBES Asia-Pacific 2018–2025):</w:t>
      </w:r>
    </w:p>
    <w:p>
      <w:pPr>
        <w:numPr>
          <w:ilvl w:val="0"/>
          <w:numId w:val="1008"/>
        </w:numPr>
      </w:pPr>
      <w:r>
        <w:rPr>
          <w:bCs/>
          <w:b/>
        </w:rPr>
        <w:t xml:space="preserve">Rào cản 1, Hạn chế tín dụng</w:t>
      </w:r>
      <w:r>
        <w:t xml:space="preserve">: Hơn 30% doanh nghiệp ở Frontier và Emerging xem</w:t>
      </w:r>
      <w:r>
        <w:t xml:space="preserve"> </w:t>
      </w:r>
      <w:r>
        <w:rPr>
          <w:bCs/>
          <w:b/>
        </w:rPr>
        <w:t xml:space="preserve">hạn chế tiếp cận tín dụng (credit constraint)</w:t>
      </w:r>
      <w:r>
        <w:t xml:space="preserve"> </w:t>
      </w:r>
      <w:r>
        <w:t xml:space="preserve">là rào cản trên trung bình. Pattern phù hợp giả thuyết</w:t>
      </w:r>
      <w:r>
        <w:t xml:space="preserve"> </w:t>
      </w:r>
      <w:r>
        <w:rPr>
          <w:bCs/>
          <w:b/>
        </w:rPr>
        <w:t xml:space="preserve">khoảng trống thể chế (institutional voids)</w:t>
      </w:r>
      <w:r>
        <w:t xml:space="preserve"> </w:t>
      </w:r>
      <w:r>
        <w:t xml:space="preserve">của Khanna &amp; Palepu (2010): các thị trường đang phát triển có hệ thống tài chính kém phát triển → doanh nghiệp khó tiếp cận tín dụng chính thức. Liên kết với §2.3.1.4</w:t>
      </w:r>
      <w:r>
        <w:t xml:space="preserve"> </w:t>
      </w:r>
      <w:r>
        <w:rPr>
          <w:iCs/>
          <w:i/>
        </w:rPr>
        <w:t xml:space="preserve">Số hóa tài chính (Financial digitalization)</w:t>
      </w:r>
      <w:r>
        <w:t xml:space="preserve">: công nghệ tài chính (fintech) có thể giảm chi phí giao dịch nhưng chưa thay thế được kênh ngân hàng truyền thống ở SME.</w:t>
      </w:r>
    </w:p>
    <w:p>
      <w:pPr>
        <w:numPr>
          <w:ilvl w:val="0"/>
          <w:numId w:val="1008"/>
        </w:numPr>
      </w:pPr>
      <w:r>
        <w:rPr>
          <w:bCs/>
          <w:b/>
        </w:rPr>
        <w:t xml:space="preserve">Rào cản 2, Lực lượng lao động thiếu kỹ năng</w:t>
      </w:r>
      <w:r>
        <w:t xml:space="preserve">: Đặc biệt nghiêm trọng cho doanh nghiệp sản xuất công nghệ cao (manufacturing high-tech) và ICT (Bảng 4.8.1), đúng với khung</w:t>
      </w:r>
      <w:r>
        <w:t xml:space="preserve"> </w:t>
      </w:r>
      <w:r>
        <w:rPr>
          <w:bCs/>
          <w:b/>
        </w:rPr>
        <w:t xml:space="preserve">Schumpeter II về động học công nghệ (Schumpeter Mark II tech dynamism)</w:t>
      </w:r>
      <w:r>
        <w:t xml:space="preserve"> </w:t>
      </w:r>
      <w:r>
        <w:t xml:space="preserve">(Kafouros et al., 2023). Pattern Asia mạnh nhất ở Frontier (do hệ giáo dục đào tạo nghề kém phát triển) và Vùng Vịnh (do lực lượng lao động phụ thuộc lao động nhập cư).</w:t>
      </w:r>
    </w:p>
    <w:p>
      <w:pPr>
        <w:numPr>
          <w:ilvl w:val="0"/>
          <w:numId w:val="1008"/>
        </w:numPr>
      </w:pPr>
      <w:r>
        <w:rPr>
          <w:bCs/>
          <w:b/>
        </w:rPr>
        <w:t xml:space="preserve">Rào cản 3, Cạnh tranh từ doanh nghiệp phi chính thức</w:t>
      </w:r>
      <w:r>
        <w:t xml:space="preserve">: Tạo</w:t>
      </w:r>
      <w:r>
        <w:t xml:space="preserve"> </w:t>
      </w:r>
      <w:r>
        <w:rPr>
          <w:bCs/>
          <w:b/>
        </w:rPr>
        <w:t xml:space="preserve">cạnh tranh không công bằng (unfair competition)</w:t>
      </w:r>
      <w:r>
        <w:t xml:space="preserve"> </w:t>
      </w:r>
      <w:r>
        <w:t xml:space="preserve">cho các doanh nghiệp chính thức vì doanh nghiệp phi chính thức không phải tuân thủ thuế, lao động, chuẩn an toàn. Mức độ</w:t>
      </w:r>
      <w:r>
        <w:t xml:space="preserve"> </w:t>
      </w:r>
      <w:r>
        <w:rPr>
          <w:bCs/>
          <w:b/>
        </w:rPr>
        <w:t xml:space="preserve">kinh tế ngầm (shadow economy)</w:t>
      </w:r>
      <w:r>
        <w:t xml:space="preserve"> </w:t>
      </w:r>
      <w:r>
        <w:t xml:space="preserve">ở Frontier và Emerging Á-Thái có thể lên 30–40% GDP (La Porta &amp; Shleifer, 2014). Giả thuyết: cạnh tranh phi chính thức làm giảm động lực đầu tư R&amp;D và ISO chứng chỉ, liên kết §2.3.1.4</w:t>
      </w:r>
      <w:r>
        <w:t xml:space="preserve"> </w:t>
      </w:r>
      <w:r>
        <w:rPr>
          <w:iCs/>
          <w:i/>
        </w:rPr>
        <w:t xml:space="preserve">Δ R&amp;D Emerging giảm -42,1 đpt</w:t>
      </w:r>
      <w:r>
        <w:t xml:space="preserve">.</w:t>
      </w:r>
    </w:p>
    <w:p>
      <w:pPr>
        <w:numPr>
          <w:ilvl w:val="0"/>
          <w:numId w:val="1008"/>
        </w:numPr>
      </w:pPr>
      <w:r>
        <w:rPr>
          <w:bCs/>
          <w:b/>
        </w:rPr>
        <w:t xml:space="preserve">Rào cản 4, Nguồn cung điện không đáng tin cậy</w:t>
      </w:r>
      <w:r>
        <w:t xml:space="preserve">: Đặc biệt nghiêm trọng cho SIDS Pacific và Frontier (e.g., Bangladesh, Pakistan power outages &gt; 10 hours/tháng theo WBES). Trực tiếp giảm năng suất lao động (Banerjee &amp; Duflo, 2014), liên kết §2.3.1.2</w:t>
      </w:r>
      <w:r>
        <w:t xml:space="preserve"> </w:t>
      </w:r>
      <w:r>
        <w:rPr>
          <w:iCs/>
          <w:i/>
        </w:rPr>
        <w:t xml:space="preserve">phân tán năng suất Frontier 1,36 cao nhất</w:t>
      </w:r>
      <w:r>
        <w:t xml:space="preserve">.</w:t>
      </w:r>
      <w:r>
        <w:t xml:space="preserve"> </w:t>
      </w:r>
      <w:r>
        <w:rPr>
          <w:bCs/>
          <w:b/>
        </w:rPr>
        <w:t xml:space="preserve">IFC PSD Blueprint</w:t>
      </w:r>
      <w:r>
        <w:t xml:space="preserve"> </w:t>
      </w:r>
      <w:r>
        <w:t xml:space="preserve">classify đây là</w:t>
      </w:r>
      <w:r>
        <w:t xml:space="preserve"> </w:t>
      </w:r>
      <w:r>
        <w:rPr>
          <w:iCs/>
          <w:i/>
        </w:rPr>
        <w:t xml:space="preserve">operational resources pillar</w:t>
      </w:r>
      <w:r>
        <w:t xml:space="preserve">, yếu tố hạ tầng vật chất khác biệt với</w:t>
      </w:r>
      <w:r>
        <w:t xml:space="preserve"> </w:t>
      </w:r>
      <w:r>
        <w:rPr>
          <w:iCs/>
          <w:i/>
        </w:rPr>
        <w:t xml:space="preserve">human resources pillar</w:t>
      </w:r>
      <w:r>
        <w:t xml:space="preserve"> </w:t>
      </w:r>
      <w:r>
        <w:t xml:space="preserve">(kỹ năng) và</w:t>
      </w:r>
      <w:r>
        <w:t xml:space="preserve"> </w:t>
      </w:r>
      <w:r>
        <w:rPr>
          <w:iCs/>
          <w:i/>
        </w:rPr>
        <w:t xml:space="preserve">financial resources pillar</w:t>
      </w:r>
      <w:r>
        <w:t xml:space="preserve"> </w:t>
      </w:r>
      <w:r>
        <w:t xml:space="preserve">(tín dụng).</w:t>
      </w:r>
    </w:p>
    <w:p>
      <w:pPr>
        <w:pStyle w:val="FirstParagraph"/>
      </w:pPr>
      <w:r>
        <w:rPr>
          <w:bCs/>
          <w:b/>
        </w:rPr>
        <w:t xml:space="preserve">Hàm ý cho CĐ2</w:t>
      </w:r>
      <w:r>
        <w:t xml:space="preserve">: 4 rào cản này → 4 control variables mới trong Spec 1 (full pool) và Spec 2 (2018-2025): (i)</w:t>
      </w:r>
      <w:r>
        <w:t xml:space="preserve"> </w:t>
      </w:r>
      <w:r>
        <w:rPr>
          <w:rStyle w:val="VerbatimChar"/>
        </w:rPr>
        <w:t xml:space="preserve">credit_constraint_dummy</w:t>
      </w:r>
      <w:r>
        <w:t xml:space="preserve"> </w:t>
      </w:r>
      <w:r>
        <w:t xml:space="preserve">từ WBES question k30; (ii)</w:t>
      </w:r>
      <w:r>
        <w:t xml:space="preserve"> </w:t>
      </w:r>
      <w:r>
        <w:rPr>
          <w:rStyle w:val="VerbatimChar"/>
        </w:rPr>
        <w:t xml:space="preserve">labor_skill_gap</w:t>
      </w:r>
      <w:r>
        <w:t xml:space="preserve"> </w:t>
      </w:r>
      <w:r>
        <w:t xml:space="preserve">từ question b8; (iii)</w:t>
      </w:r>
      <w:r>
        <w:t xml:space="preserve"> </w:t>
      </w:r>
      <w:r>
        <w:rPr>
          <w:rStyle w:val="VerbatimChar"/>
        </w:rPr>
        <w:t xml:space="preserve">informal_competition</w:t>
      </w:r>
      <w:r>
        <w:t xml:space="preserve"> </w:t>
      </w:r>
      <w:r>
        <w:t xml:space="preserve">từ question e30; (iv)</w:t>
      </w:r>
      <w:r>
        <w:t xml:space="preserve"> </w:t>
      </w:r>
      <w:r>
        <w:rPr>
          <w:rStyle w:val="VerbatimChar"/>
        </w:rPr>
        <w:t xml:space="preserve">power_outage_intensity</w:t>
      </w:r>
      <w:r>
        <w:t xml:space="preserve"> </w:t>
      </w:r>
      <w:r>
        <w:t xml:space="preserve">từ question c30 (ngày/tháng mất điện). Cộng với khung industry FE (§2.3.1.8) và phân nhóm con thể chế (Chương 3 mục §2.1–§2.2 chuyên đề), CĐ2 sẽ có</w:t>
      </w:r>
      <w:r>
        <w:t xml:space="preserve"> </w:t>
      </w:r>
      <w:r>
        <w:rPr>
          <w:bCs/>
          <w:b/>
        </w:rPr>
        <w:t xml:space="preserve">specification đầy đủ 5 lĩnh vực WBES</w:t>
      </w:r>
      <w:r>
        <w:t xml:space="preserve">, không chỉ 2 lĩnh vực (đổi mới + năng lực số) như §2.3.1.4 hiện đang phân tích.</w:t>
      </w:r>
    </w:p>
    <w:bookmarkEnd w:id="62"/>
    <w:bookmarkStart w:id="63" w:name="X139dc698771487ae151b0ada3bdbb2cf58e2e95"/>
    <w:p>
      <w:pPr>
        <w:pStyle w:val="Heading5"/>
      </w:pPr>
      <w:r>
        <w:t xml:space="preserve">2.3.1.5.6 Giới tính quản lý cấp cao và sở hữu — bằng chứng từ WBES pool</w:t>
      </w:r>
    </w:p>
    <w:p>
      <w:pPr>
        <w:pStyle w:val="BlockText"/>
      </w:pPr>
      <w:r>
        <w:rPr>
          <w:bCs/>
          <w:b/>
        </w:rPr>
        <w:t xml:space="preserve">Nguồn chuẩn</w:t>
      </w:r>
      <w:r>
        <w:t xml:space="preserve">: Carboni et al. (2024/2025, WBES 192.000 doanh nghiệp, 158 quốc gia, 2006–2023); World Bank (2024)</w:t>
      </w:r>
      <w:r>
        <w:t xml:space="preserve"> </w:t>
      </w:r>
      <w:r>
        <w:rPr>
          <w:iCs/>
          <w:i/>
        </w:rPr>
        <w:t xml:space="preserve">Unlocking Global Growth: Closing the Gender Gap in Business</w:t>
      </w:r>
      <w:r>
        <w:t xml:space="preserve"> </w:t>
      </w:r>
      <w:r>
        <w:t xml:space="preserve">(WBES 167 nền kinh tế). Biến WBES:</w:t>
      </w:r>
      <w:r>
        <w:t xml:space="preserve"> </w:t>
      </w:r>
      <w:r>
        <w:rPr>
          <w:rStyle w:val="VerbatimChar"/>
        </w:rPr>
        <w:t xml:space="preserve">b7a</w:t>
      </w:r>
      <w:r>
        <w:t xml:space="preserve"> </w:t>
      </w:r>
      <w:r>
        <w:t xml:space="preserve">= female top manager (nhị phân Y/N);</w:t>
      </w:r>
      <w:r>
        <w:t xml:space="preserve"> </w:t>
      </w:r>
      <w:r>
        <w:rPr>
          <w:rStyle w:val="VerbatimChar"/>
        </w:rPr>
        <w:t xml:space="preserve">b4</w:t>
      </w:r>
      <w:r>
        <w:t xml:space="preserve"> </w:t>
      </w:r>
      <w:r>
        <w:t xml:space="preserve">= female majority ownership.</w:t>
      </w:r>
    </w:p>
    <w:p>
      <w:pPr>
        <w:pStyle w:val="FirstParagraph"/>
      </w:pPr>
      <w:r>
        <w:rPr>
          <w:bCs/>
          <w:b/>
        </w:rPr>
        <w:t xml:space="preserve">Bảng 4.5.6</w:t>
      </w:r>
      <w:r>
        <w:t xml:space="preserve">.</w:t>
      </w:r>
      <w:r>
        <w:t xml:space="preserve"> </w:t>
      </w:r>
      <w:r>
        <w:rPr>
          <w:iCs/>
          <w:i/>
        </w:rPr>
        <w:t xml:space="preserve">Tỷ lệ nữ quản lý cấp cao (female top manager) và nữ sở hữu, theo phân nhóm con ICRV.</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Phân nhóm con</w:t>
            </w:r>
          </w:p>
        </w:tc>
        <w:tc>
          <w:tcPr/>
          <w:p>
            <w:pPr>
              <w:pStyle w:val="Compact"/>
              <w:jc w:val="left"/>
            </w:pPr>
            <w:r>
              <w:t xml:space="preserve">% Nữ Top Manager (b7a)</w:t>
            </w:r>
          </w:p>
        </w:tc>
        <w:tc>
          <w:tcPr/>
          <w:p>
            <w:pPr>
              <w:pStyle w:val="Compact"/>
              <w:jc w:val="left"/>
            </w:pPr>
            <w:r>
              <w:t xml:space="preserve">% Nữ Majority Owner</w:t>
            </w:r>
          </w:p>
        </w:tc>
        <w:tc>
          <w:tcPr/>
          <w:p>
            <w:pPr>
              <w:pStyle w:val="Compact"/>
              <w:jc w:val="left"/>
            </w:pPr>
            <w:r>
              <w:t xml:space="preserve">Ghi chú</w:t>
            </w:r>
          </w:p>
        </w:tc>
      </w:tr>
      <w:tr>
        <w:tc>
          <w:tcPr/>
          <w:p>
            <w:pPr>
              <w:pStyle w:val="Compact"/>
              <w:jc w:val="left"/>
            </w:pPr>
            <w:r>
              <w:rPr>
                <w:bCs/>
                <w:b/>
              </w:rPr>
              <w:t xml:space="preserve">Advanced — innovation-driven</w:t>
            </w:r>
          </w:p>
        </w:tc>
        <w:tc>
          <w:tcPr/>
          <w:p>
            <w:pPr>
              <w:pStyle w:val="Compact"/>
              <w:jc w:val="left"/>
            </w:pPr>
            <w:r>
              <w:t xml:space="preserve">~26–30%</w:t>
            </w:r>
          </w:p>
        </w:tc>
        <w:tc>
          <w:tcPr/>
          <w:p>
            <w:pPr>
              <w:pStyle w:val="Compact"/>
              <w:jc w:val="left"/>
            </w:pPr>
            <w:r>
              <w:t xml:space="preserve">~18–22%</w:t>
            </w:r>
          </w:p>
        </w:tc>
        <w:tc>
          <w:tcPr/>
          <w:p>
            <w:pPr>
              <w:pStyle w:val="Compact"/>
              <w:jc w:val="left"/>
            </w:pPr>
            <w:r>
              <w:t xml:space="preserve">Singapore: WBES 2023 (b7a) ≈ 28%</w:t>
            </w:r>
          </w:p>
        </w:tc>
      </w:tr>
      <w:tr>
        <w:tc>
          <w:tcPr/>
          <w:p>
            <w:pPr>
              <w:pStyle w:val="Compact"/>
              <w:jc w:val="left"/>
            </w:pPr>
            <w:r>
              <w:rPr>
                <w:bCs/>
                <w:b/>
              </w:rPr>
              <w:t xml:space="preserve">Advanced — resource-driven</w:t>
            </w:r>
          </w:p>
        </w:tc>
        <w:tc>
          <w:tcPr/>
          <w:p>
            <w:pPr>
              <w:pStyle w:val="Compact"/>
              <w:jc w:val="left"/>
            </w:pPr>
            <w:r>
              <w:t xml:space="preserve">~5–8%</w:t>
            </w:r>
          </w:p>
        </w:tc>
        <w:tc>
          <w:tcPr/>
          <w:p>
            <w:pPr>
              <w:pStyle w:val="Compact"/>
              <w:jc w:val="left"/>
            </w:pPr>
            <w:r>
              <w:t xml:space="preserve">~3–5%</w:t>
            </w:r>
          </w:p>
        </w:tc>
        <w:tc>
          <w:tcPr/>
          <w:p>
            <w:pPr>
              <w:pStyle w:val="Compact"/>
              <w:jc w:val="left"/>
            </w:pPr>
            <w:r>
              <w:t xml:space="preserve">Vùng Vịnh: thấp do cấu trúc xã hội-thể chế</w:t>
            </w:r>
          </w:p>
        </w:tc>
      </w:tr>
      <w:tr>
        <w:tc>
          <w:tcPr/>
          <w:p>
            <w:pPr>
              <w:pStyle w:val="Compact"/>
              <w:jc w:val="left"/>
            </w:pPr>
            <w:r>
              <w:rPr>
                <w:bCs/>
                <w:b/>
              </w:rPr>
              <w:t xml:space="preserve">Upper-middle</w:t>
            </w:r>
          </w:p>
        </w:tc>
        <w:tc>
          <w:tcPr/>
          <w:p>
            <w:pPr>
              <w:pStyle w:val="Compact"/>
              <w:jc w:val="left"/>
            </w:pPr>
            <w:r>
              <w:t xml:space="preserve">~30–35%</w:t>
            </w:r>
          </w:p>
        </w:tc>
        <w:tc>
          <w:tcPr/>
          <w:p>
            <w:pPr>
              <w:pStyle w:val="Compact"/>
              <w:jc w:val="left"/>
            </w:pPr>
            <w:r>
              <w:t xml:space="preserve">~20–25%</w:t>
            </w:r>
          </w:p>
        </w:tc>
        <w:tc>
          <w:tcPr/>
          <w:p>
            <w:pPr>
              <w:pStyle w:val="Compact"/>
              <w:jc w:val="left"/>
            </w:pPr>
            <w:r>
              <w:t xml:space="preserve">Trung Quốc, Malaysia, Thái Lan dẫn dắt</w:t>
            </w:r>
          </w:p>
        </w:tc>
      </w:tr>
      <w:tr>
        <w:tc>
          <w:tcPr/>
          <w:p>
            <w:pPr>
              <w:pStyle w:val="Compact"/>
              <w:jc w:val="left"/>
            </w:pPr>
            <w:r>
              <w:rPr>
                <w:bCs/>
                <w:b/>
              </w:rPr>
              <w:t xml:space="preserve">Emerging</w:t>
            </w:r>
          </w:p>
        </w:tc>
        <w:tc>
          <w:tcPr/>
          <w:p>
            <w:pPr>
              <w:pStyle w:val="Compact"/>
              <w:jc w:val="left"/>
            </w:pPr>
            <w:r>
              <w:t xml:space="preserve">~25–33%</w:t>
            </w:r>
          </w:p>
        </w:tc>
        <w:tc>
          <w:tcPr/>
          <w:p>
            <w:pPr>
              <w:pStyle w:val="Compact"/>
              <w:jc w:val="left"/>
            </w:pPr>
            <w:r>
              <w:t xml:space="preserve">~18–24%</w:t>
            </w:r>
          </w:p>
        </w:tc>
        <w:tc>
          <w:tcPr/>
          <w:p>
            <w:pPr>
              <w:pStyle w:val="Compact"/>
              <w:jc w:val="left"/>
            </w:pPr>
            <w:r>
              <w:t xml:space="preserve">EAP trung bình 33,4% (dẫn đầu toàn cầu — xem §2.3.3.1)</w:t>
            </w:r>
          </w:p>
        </w:tc>
      </w:tr>
      <w:tr>
        <w:tc>
          <w:tcPr/>
          <w:p>
            <w:pPr>
              <w:pStyle w:val="Compact"/>
              <w:jc w:val="left"/>
            </w:pPr>
            <w:r>
              <w:rPr>
                <w:bCs/>
                <w:b/>
              </w:rPr>
              <w:t xml:space="preserve">Frontier</w:t>
            </w:r>
          </w:p>
        </w:tc>
        <w:tc>
          <w:tcPr/>
          <w:p>
            <w:pPr>
              <w:pStyle w:val="Compact"/>
              <w:jc w:val="left"/>
            </w:pPr>
            <w:r>
              <w:t xml:space="preserve">~15–25%</w:t>
            </w:r>
          </w:p>
        </w:tc>
        <w:tc>
          <w:tcPr/>
          <w:p>
            <w:pPr>
              <w:pStyle w:val="Compact"/>
              <w:jc w:val="left"/>
            </w:pPr>
            <w:r>
              <w:t xml:space="preserve">~10–18%</w:t>
            </w:r>
          </w:p>
        </w:tc>
        <w:tc>
          <w:tcPr/>
          <w:p>
            <w:pPr>
              <w:pStyle w:val="Compact"/>
              <w:jc w:val="left"/>
            </w:pPr>
            <w:r>
              <w:t xml:space="preserve">Phân tán lớn — Bangladesh (~16%) vs Kyrgyz (~35%)</w:t>
            </w:r>
          </w:p>
        </w:tc>
      </w:tr>
      <w:tr>
        <w:tc>
          <w:tcPr/>
          <w:p>
            <w:pPr>
              <w:pStyle w:val="Compact"/>
              <w:jc w:val="left"/>
            </w:pPr>
            <w:r>
              <w:rPr>
                <w:bCs/>
                <w:b/>
              </w:rPr>
              <w:t xml:space="preserve">SIDS Thái Bình Dương</w:t>
            </w:r>
          </w:p>
        </w:tc>
        <w:tc>
          <w:tcPr/>
          <w:p>
            <w:pPr>
              <w:pStyle w:val="Compact"/>
              <w:jc w:val="left"/>
            </w:pPr>
            <w:r>
              <w:t xml:space="preserve">~20–28%</w:t>
            </w:r>
          </w:p>
        </w:tc>
        <w:tc>
          <w:tcPr/>
          <w:p>
            <w:pPr>
              <w:pStyle w:val="Compact"/>
              <w:jc w:val="left"/>
            </w:pPr>
            <w:r>
              <w:t xml:space="preserve">~15–20%</w:t>
            </w:r>
          </w:p>
        </w:tc>
        <w:tc>
          <w:tcPr/>
          <w:p>
            <w:pPr>
              <w:pStyle w:val="Compact"/>
              <w:jc w:val="left"/>
            </w:pPr>
            <w:r>
              <w:t xml:space="preserve">Fiji/Solomon Islands — matrilineal land tenure culture</w:t>
            </w:r>
          </w:p>
        </w:tc>
      </w:tr>
    </w:tbl>
    <w:p>
      <w:pPr>
        <w:pStyle w:val="BodyText"/>
      </w:pPr>
      <w:r>
        <w:rPr>
          <w:iCs/>
          <w:i/>
        </w:rPr>
        <w:t xml:space="preserve">Lưu ý: Số liệu tỷ lệ phần trăm là ước tính theo phân nhóm con ICRV dựa trên tổng hợp WBES pool, cần đối chiếu lại với dữ liệu</w:t>
      </w:r>
      <w:r>
        <w:rPr>
          <w:iCs/>
          <w:i/>
        </w:rPr>
        <w:t xml:space="preserve"> </w:t>
      </w:r>
      <w:r>
        <w:rPr>
          <w:rStyle w:val="VerbatimChar"/>
          <w:iCs/>
          <w:i/>
        </w:rPr>
        <w:t xml:space="preserve">b7a</w:t>
      </w:r>
      <w:r>
        <w:rPr>
          <w:iCs/>
          <w:i/>
        </w:rPr>
        <w:t xml:space="preserve"> </w:t>
      </w:r>
      <w:r>
        <w:rPr>
          <w:iCs/>
          <w:i/>
        </w:rPr>
        <w:t xml:space="preserve">gốc khi hoàn thiện. Bảng 6.1.1 (mục §2.3.2–§2.4 chuyên đề §2.3.3.1) cung cấp số liệu chính xác theo vùng WB.</w:t>
      </w:r>
    </w:p>
    <w:p>
      <w:pPr>
        <w:pStyle w:val="BodyText"/>
      </w:pPr>
      <w:r>
        <w:rPr>
          <w:bCs/>
          <w:b/>
        </w:rPr>
        <w:t xml:space="preserve">Ba phát hiện nổi bật</w:t>
      </w:r>
      <w:r>
        <w:t xml:space="preserve">:</w:t>
      </w:r>
    </w:p>
    <w:p>
      <w:pPr>
        <w:numPr>
          <w:ilvl w:val="0"/>
          <w:numId w:val="1009"/>
        </w:numPr>
      </w:pPr>
      <w:r>
        <w:rPr>
          <w:bCs/>
          <w:b/>
        </w:rPr>
        <w:t xml:space="preserve">EAP paradox, dẫn đầu về representation nhưng không về performance gap</w:t>
      </w:r>
      <w:r>
        <w:t xml:space="preserve">: Dữ liệu WBES EAP 33,4% nữ TMT cao nhất toàn cầu, nhưng Carboni et al. cho thấy mối quan hệ female top manager × ESG (môi trường-xã hội-quản trị) phụ thuộc mạnh vào chất lượng thể chế và công nghệ. Tại các nền kinh tế như Việt Nam, Trung Quốc, Philippines, phụ nữ quản lý cấp cao hiện diện cao nhưng thường ở SME nội địa năng suất thấp hơn, cần kiểm soát quy mô, ngành và ICRV regime.</w:t>
      </w:r>
    </w:p>
    <w:p>
      <w:pPr>
        <w:numPr>
          <w:ilvl w:val="0"/>
          <w:numId w:val="1009"/>
        </w:numPr>
      </w:pPr>
      <w:r>
        <w:rPr>
          <w:bCs/>
          <w:b/>
        </w:rPr>
        <w:t xml:space="preserve">Vùng Vịnh, gap lớn nhất</w:t>
      </w:r>
      <w:r>
        <w:t xml:space="preserve">: Advanced resource-driven (Vùng Vịnh Saudi/Qatar/Kuwait) có tỷ lệ nữ TMT thấp nhất trong toàn pool (3–8%), phản ánh cấu trúc thể chế-xã hội đặc thù. Đây là boundary condition cho mọi phân tích gender performance: kết quả gender × productivity ở Vùng Vịnh không thể suy rộng sang Advanced innovation-driven.</w:t>
      </w:r>
    </w:p>
    <w:p>
      <w:pPr>
        <w:numPr>
          <w:ilvl w:val="0"/>
          <w:numId w:val="1009"/>
        </w:numPr>
      </w:pPr>
      <w:r>
        <w:rPr>
          <w:bCs/>
          <w:b/>
        </w:rPr>
        <w:t xml:space="preserve">Frontier, phân tán nội bộ lớn</w:t>
      </w:r>
      <w:r>
        <w:t xml:space="preserve">: Kyrgyz Republic + Tajikistan (Frontier/Trung Á, nữ TMT ~35%) so với Yemen + Afghanistan (Frontier/MENA, nữ TMT &lt;5%), minh họa cho lý do ICRV phân nhóm Frontier 17 nước thay vì gộp chung.</w:t>
      </w:r>
    </w:p>
    <w:p>
      <w:pPr>
        <w:pStyle w:val="FirstParagraph"/>
      </w:pPr>
      <w:r>
        <w:rPr>
          <w:bCs/>
          <w:b/>
        </w:rPr>
        <w:t xml:space="preserve">Biến WBES và hàm ý CĐ2</w:t>
      </w:r>
      <w:r>
        <w:t xml:space="preserve">: Biến</w:t>
      </w:r>
      <w:r>
        <w:t xml:space="preserve"> </w:t>
      </w:r>
      <w:r>
        <w:rPr>
          <w:rStyle w:val="VerbatimChar"/>
        </w:rPr>
        <w:t xml:space="preserve">b7a</w:t>
      </w:r>
      <w:r>
        <w:t xml:space="preserve"> </w:t>
      </w:r>
      <w:r>
        <w:t xml:space="preserve">(female top manager) trong CĐ2 có thể đóng vai trò (i)</w:t>
      </w:r>
      <w:r>
        <w:t xml:space="preserve"> </w:t>
      </w:r>
      <w:r>
        <w:rPr>
          <w:bCs/>
          <w:b/>
        </w:rPr>
        <w:t xml:space="preserve">biến kiểm soát</w:t>
      </w:r>
      <w:r>
        <w:t xml:space="preserve"> </w:t>
      </w:r>
      <w:r>
        <w:t xml:space="preserve">trong specification cơ bản để loại tác động cơ cấu giới lên năng suất; (ii)</w:t>
      </w:r>
      <w:r>
        <w:t xml:space="preserve"> </w:t>
      </w:r>
      <w:r>
        <w:rPr>
          <w:bCs/>
          <w:b/>
        </w:rPr>
        <w:t xml:space="preserve">biến điều tiết (moderating variable)</w:t>
      </w:r>
      <w:r>
        <w:t xml:space="preserve"> </w:t>
      </w:r>
      <w:r>
        <w:t xml:space="preserve">cho H4 TMT moderation theo Mardones-Ibáñez (2025,</w:t>
      </w:r>
      <w:r>
        <w:t xml:space="preserve"> </w:t>
      </w:r>
      <w:r>
        <w:rPr>
          <w:iCs/>
          <w:i/>
        </w:rPr>
        <w:t xml:space="preserve">SAGE Open</w:t>
      </w:r>
      <w:r>
        <w:t xml:space="preserve">) + Al-Najjar et al. (2025,</w:t>
      </w:r>
      <w:r>
        <w:t xml:space="preserve"> </w:t>
      </w:r>
      <w:r>
        <w:rPr>
          <w:iCs/>
          <w:i/>
        </w:rPr>
        <w:t xml:space="preserve">IJHRM</w:t>
      </w:r>
      <w:r>
        <w:t xml:space="preserve">). Carboni et al. framework gợi ý: tác động female top manager lên firm performance không phải tuyến tính mà phụ thuộc vào (a) mức độ số hóa (DAI), technology complement gender diversity; (b) ICRV regime, thể chế mạnh khuếch đại tác động gender diversity; (c) ngành, tech-dynamic industries có ROI cao hơn từ gender diverse leadership.</w:t>
      </w:r>
    </w:p>
    <w:bookmarkEnd w:id="63"/>
    <w:bookmarkStart w:id="70" w:name="bức-tranh-thay-đổi-theo-thời-gian"/>
    <w:p>
      <w:pPr>
        <w:pStyle w:val="Heading5"/>
      </w:pPr>
      <w:r>
        <w:t xml:space="preserve">2.3.1.6 Bức tranh thay đổi theo thời gian</w:t>
      </w:r>
    </w:p>
    <w:p>
      <w:pPr>
        <w:pStyle w:val="FirstParagraph"/>
      </w:pPr>
      <w:r>
        <w:rPr>
          <w:bCs/>
          <w:b/>
        </w:rPr>
        <w:t xml:space="preserve">Bảng 4.6</w:t>
      </w:r>
      <w:r>
        <w:t xml:space="preserve">.</w:t>
      </w:r>
      <w:r>
        <w:t xml:space="preserve"> </w:t>
      </w:r>
      <w:r>
        <w:rPr>
          <w:iCs/>
          <w:i/>
        </w:rPr>
        <w:t xml:space="preserve">Δ điểm phần trăm (đpt) khi so sánh 2018–2025 với 2009–2012.</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Phân nhóm con</w:t>
            </w:r>
          </w:p>
        </w:tc>
        <w:tc>
          <w:tcPr/>
          <w:p>
            <w:pPr>
              <w:pStyle w:val="Compact"/>
              <w:jc w:val="left"/>
            </w:pPr>
            <w:r>
              <w:t xml:space="preserve">Δ Website</w:t>
            </w:r>
          </w:p>
        </w:tc>
        <w:tc>
          <w:tcPr/>
          <w:p>
            <w:pPr>
              <w:pStyle w:val="Compact"/>
              <w:jc w:val="left"/>
            </w:pPr>
            <w:r>
              <w:t xml:space="preserve">Δ Doanh nghiệp xuất khẩu</w:t>
            </w:r>
          </w:p>
        </w:tc>
        <w:tc>
          <w:tcPr/>
          <w:p>
            <w:pPr>
              <w:pStyle w:val="Compact"/>
              <w:jc w:val="left"/>
            </w:pPr>
            <w:r>
              <w:t xml:space="preserve">Δ FDI</w:t>
            </w:r>
          </w:p>
        </w:tc>
        <w:tc>
          <w:tcPr/>
          <w:p>
            <w:pPr>
              <w:pStyle w:val="Compact"/>
              <w:jc w:val="left"/>
            </w:pPr>
            <w:r>
              <w:t xml:space="preserve">Δ R&amp;D</w:t>
            </w:r>
          </w:p>
        </w:tc>
        <w:tc>
          <w:tcPr/>
          <w:p>
            <w:pPr>
              <w:pStyle w:val="Compact"/>
              <w:jc w:val="left"/>
            </w:pPr>
            <w:r>
              <w:t xml:space="preserve">Δ ISO</w:t>
            </w:r>
          </w:p>
        </w:tc>
      </w:tr>
      <w:tr>
        <w:tc>
          <w:tcPr/>
          <w:p>
            <w:pPr>
              <w:pStyle w:val="Compact"/>
              <w:jc w:val="left"/>
            </w:pPr>
            <w:r>
              <w:t xml:space="preserve">Upper-middle</w:t>
            </w:r>
          </w:p>
        </w:tc>
        <w:tc>
          <w:tcPr/>
          <w:p>
            <w:pPr>
              <w:pStyle w:val="Compact"/>
              <w:jc w:val="left"/>
            </w:pPr>
            <w:r>
              <w:t xml:space="preserve">-9,9</w:t>
            </w:r>
          </w:p>
        </w:tc>
        <w:tc>
          <w:tcPr/>
          <w:p>
            <w:pPr>
              <w:pStyle w:val="Compact"/>
              <w:jc w:val="left"/>
            </w:pPr>
            <w:r>
              <w:t xml:space="preserve">+1,4</w:t>
            </w:r>
          </w:p>
        </w:tc>
        <w:tc>
          <w:tcPr/>
          <w:p>
            <w:pPr>
              <w:pStyle w:val="Compact"/>
              <w:jc w:val="left"/>
            </w:pPr>
            <w:r>
              <w:t xml:space="preserve">+2,3</w:t>
            </w:r>
          </w:p>
        </w:tc>
        <w:tc>
          <w:tcPr/>
          <w:p>
            <w:pPr>
              <w:pStyle w:val="Compact"/>
              <w:jc w:val="left"/>
            </w:pPr>
            <w:r>
              <w:t xml:space="preserve">+21,5</w:t>
            </w:r>
          </w:p>
        </w:tc>
        <w:tc>
          <w:tcPr/>
          <w:p>
            <w:pPr>
              <w:pStyle w:val="Compact"/>
              <w:jc w:val="left"/>
            </w:pPr>
            <w:r>
              <w:t xml:space="preserve">-25,4</w:t>
            </w:r>
          </w:p>
        </w:tc>
      </w:tr>
      <w:tr>
        <w:tc>
          <w:tcPr/>
          <w:p>
            <w:pPr>
              <w:pStyle w:val="Compact"/>
              <w:jc w:val="left"/>
            </w:pPr>
            <w:r>
              <w:t xml:space="preserve">Emerging</w:t>
            </w:r>
          </w:p>
        </w:tc>
        <w:tc>
          <w:tcPr/>
          <w:p>
            <w:pPr>
              <w:pStyle w:val="Compact"/>
              <w:jc w:val="left"/>
            </w:pPr>
            <w:r>
              <w:t xml:space="preserve">+20,3</w:t>
            </w:r>
          </w:p>
        </w:tc>
        <w:tc>
          <w:tcPr/>
          <w:p>
            <w:pPr>
              <w:pStyle w:val="Compact"/>
              <w:jc w:val="left"/>
            </w:pPr>
            <w:r>
              <w:t xml:space="preserve">-7,5</w:t>
            </w:r>
          </w:p>
        </w:tc>
        <w:tc>
          <w:tcPr/>
          <w:p>
            <w:pPr>
              <w:pStyle w:val="Compact"/>
              <w:jc w:val="left"/>
            </w:pPr>
            <w:r>
              <w:t xml:space="preserve">-10,9</w:t>
            </w:r>
          </w:p>
        </w:tc>
        <w:tc>
          <w:tcPr/>
          <w:p>
            <w:pPr>
              <w:pStyle w:val="Compact"/>
              <w:jc w:val="left"/>
            </w:pPr>
            <w:r>
              <w:t xml:space="preserve">-42,1</w:t>
            </w:r>
          </w:p>
        </w:tc>
        <w:tc>
          <w:tcPr/>
          <w:p>
            <w:pPr>
              <w:pStyle w:val="Compact"/>
              <w:jc w:val="left"/>
            </w:pPr>
            <w:r>
              <w:t xml:space="preserve">+1,9</w:t>
            </w:r>
          </w:p>
        </w:tc>
      </w:tr>
      <w:tr>
        <w:tc>
          <w:tcPr/>
          <w:p>
            <w:pPr>
              <w:pStyle w:val="Compact"/>
              <w:jc w:val="left"/>
            </w:pPr>
            <w:r>
              <w:t xml:space="preserve">Frontier</w:t>
            </w:r>
          </w:p>
        </w:tc>
        <w:tc>
          <w:tcPr/>
          <w:p>
            <w:pPr>
              <w:pStyle w:val="Compact"/>
              <w:jc w:val="left"/>
            </w:pPr>
            <w:r>
              <w:t xml:space="preserve">+22,1</w:t>
            </w:r>
          </w:p>
        </w:tc>
        <w:tc>
          <w:tcPr/>
          <w:p>
            <w:pPr>
              <w:pStyle w:val="Compact"/>
              <w:jc w:val="left"/>
            </w:pPr>
            <w:r>
              <w:t xml:space="preserve">+1,5</w:t>
            </w:r>
          </w:p>
        </w:tc>
        <w:tc>
          <w:tcPr/>
          <w:p>
            <w:pPr>
              <w:pStyle w:val="Compact"/>
              <w:jc w:val="left"/>
            </w:pPr>
            <w:r>
              <w:t xml:space="preserve">-6,5</w:t>
            </w:r>
          </w:p>
        </w:tc>
        <w:tc>
          <w:tcPr/>
          <w:p>
            <w:pPr>
              <w:pStyle w:val="Compact"/>
              <w:jc w:val="left"/>
            </w:pPr>
            <w:r>
              <w:t xml:space="preserve">-18,9</w:t>
            </w:r>
          </w:p>
        </w:tc>
        <w:tc>
          <w:tcPr/>
          <w:p>
            <w:pPr>
              <w:pStyle w:val="Compact"/>
              <w:jc w:val="left"/>
            </w:pPr>
            <w:r>
              <w:t xml:space="preserve">+18,5</w:t>
            </w:r>
          </w:p>
        </w:tc>
      </w:tr>
      <w:tr>
        <w:tc>
          <w:tcPr/>
          <w:p>
            <w:pPr>
              <w:pStyle w:val="Compact"/>
              <w:jc w:val="left"/>
            </w:pPr>
            <w:r>
              <w:t xml:space="preserve">SIDS Thái Bình Dương</w:t>
            </w:r>
          </w:p>
        </w:tc>
        <w:tc>
          <w:tcPr/>
          <w:p>
            <w:pPr>
              <w:pStyle w:val="Compact"/>
              <w:jc w:val="left"/>
            </w:pPr>
            <w:r>
              <w:t xml:space="preserve">+35–43</w:t>
            </w:r>
          </w:p>
        </w:tc>
        <w:tc>
          <w:tcPr/>
          <w:p>
            <w:pPr>
              <w:pStyle w:val="Compact"/>
              <w:jc w:val="left"/>
            </w:pPr>
            <w:r>
              <w:t xml:space="preserve">+6–11</w:t>
            </w:r>
          </w:p>
        </w:tc>
        <w:tc>
          <w:tcPr/>
          <w:p>
            <w:pPr>
              <w:pStyle w:val="Compact"/>
              <w:jc w:val="left"/>
            </w:pPr>
            <w:r>
              <w:t xml:space="preserve">-5 đến -10</w:t>
            </w:r>
          </w:p>
        </w:tc>
        <w:tc>
          <w:tcPr/>
          <w:p>
            <w:pPr>
              <w:pStyle w:val="Compact"/>
              <w:jc w:val="left"/>
            </w:pPr>
            <w:r>
              <w:t xml:space="preserve">(cập nhật)</w:t>
            </w:r>
          </w:p>
        </w:tc>
        <w:tc>
          <w:tcPr/>
          <w:p>
            <w:pPr>
              <w:pStyle w:val="Compact"/>
              <w:jc w:val="left"/>
            </w:pPr>
            <w:r>
              <w:t xml:space="preserve">-20 đến -25</w:t>
            </w:r>
          </w:p>
        </w:tc>
      </w:tr>
    </w:tbl>
    <w:p>
      <w:pPr>
        <w:pStyle w:val="BodyText"/>
      </w:pPr>
      <w:r>
        <w:t xml:space="preserve">Nhảy vọt số (digital leapfrog): website tăng +20–43 đpt ở Frontier, Emerging và SIDS Thái Bình Dương, phù hợp luận điểm digital leapfrog của Banalieva &amp; Dhanaraj (2019).</w:t>
      </w:r>
    </w:p>
    <w:p>
      <w:pPr>
        <w:pStyle w:val="CaptionedFigure"/>
      </w:pPr>
      <w:r>
        <w:drawing>
          <wp:inline>
            <wp:extent cx="5753100" cy="2590690"/>
            <wp:effectExtent b="0" l="0" r="0" t="0"/>
            <wp:docPr descr="Hình 4.4, Slope chart 2009–2012 vs 2018–2025 (Δ điểm phần trăm 5 chỉ số)" title="" id="65" name="Picture"/>
            <a:graphic>
              <a:graphicData uri="http://schemas.openxmlformats.org/drawingml/2006/picture">
                <pic:pic>
                  <pic:nvPicPr>
                    <pic:cNvPr descr="figures/fig_4_4_growth_pathway.png" id="66" name="Picture"/>
                    <pic:cNvPicPr>
                      <a:picLocks noChangeArrowheads="1" noChangeAspect="1"/>
                    </pic:cNvPicPr>
                  </pic:nvPicPr>
                  <pic:blipFill>
                    <a:blip r:embed="rId64"/>
                    <a:stretch>
                      <a:fillRect/>
                    </a:stretch>
                  </pic:blipFill>
                  <pic:spPr bwMode="auto">
                    <a:xfrm>
                      <a:off x="0" y="0"/>
                      <a:ext cx="5753100" cy="2590690"/>
                    </a:xfrm>
                    <a:prstGeom prst="rect">
                      <a:avLst/>
                    </a:prstGeom>
                    <a:noFill/>
                    <a:ln w="9525">
                      <a:noFill/>
                      <a:headEnd/>
                      <a:tailEnd/>
                    </a:ln>
                  </pic:spPr>
                </pic:pic>
              </a:graphicData>
            </a:graphic>
          </wp:inline>
        </w:drawing>
      </w:r>
    </w:p>
    <w:p>
      <w:pPr>
        <w:pStyle w:val="ImageCaption"/>
      </w:pPr>
      <w:r>
        <w:t xml:space="preserve">Hình 4.4, Slope chart 2009–2012 vs 2018–2025 (Δ điểm phần trăm 5 chỉ số)</w:t>
      </w:r>
    </w:p>
    <w:p>
      <w:pPr>
        <w:pStyle w:val="BodyText"/>
      </w:pPr>
      <w:r>
        <w:rPr>
          <w:iCs/>
          <w:i/>
        </w:rPr>
        <w:t xml:space="preserve">Hình 4.4. Slope chart minh họa thay đổi 5 chỉ số (Website, DN xuất khẩu, FDI, R&amp;D, ISO) giữa 2 mốc thời gian cho 4 phân nhóm con. Pattern nổi bật: Website tăng mạnh +20-40 đpt ở Frontier/SIDS (digital leapfrog); FDI giảm phổ biến (-5 đến -11 đpt); R&amp;D giảm mạnh ở Emerging (-42,1 đpt) cảnh báo schema effect.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fig_4_4_growth_pathway()</w:t>
      </w:r>
      <w:r>
        <w:rPr>
          <w:iCs/>
          <w:i/>
        </w:rPr>
        <w:t xml:space="preserve">.</w:t>
      </w:r>
    </w:p>
    <w:p>
      <w:pPr>
        <w:pStyle w:val="CaptionedFigure"/>
      </w:pPr>
      <w:r>
        <w:drawing>
          <wp:inline>
            <wp:extent cx="5753100" cy="2222977"/>
            <wp:effectExtent b="0" l="0" r="0" t="0"/>
            <wp:docPr descr="Hình 4.7, Spider chart 5 chiều × 2 mốc thời gian (Advanced, Emerging, SIDS)" title="" id="68" name="Picture"/>
            <a:graphic>
              <a:graphicData uri="http://schemas.openxmlformats.org/drawingml/2006/picture">
                <pic:pic>
                  <pic:nvPicPr>
                    <pic:cNvPr descr="figures/fig_4_7_spider_chart.png" id="69" name="Picture"/>
                    <pic:cNvPicPr>
                      <a:picLocks noChangeArrowheads="1" noChangeAspect="1"/>
                    </pic:cNvPicPr>
                  </pic:nvPicPr>
                  <pic:blipFill>
                    <a:blip r:embed="rId67"/>
                    <a:stretch>
                      <a:fillRect/>
                    </a:stretch>
                  </pic:blipFill>
                  <pic:spPr bwMode="auto">
                    <a:xfrm>
                      <a:off x="0" y="0"/>
                      <a:ext cx="5753100" cy="2222977"/>
                    </a:xfrm>
                    <a:prstGeom prst="rect">
                      <a:avLst/>
                    </a:prstGeom>
                    <a:noFill/>
                    <a:ln w="9525">
                      <a:noFill/>
                      <a:headEnd/>
                      <a:tailEnd/>
                    </a:ln>
                  </pic:spPr>
                </pic:pic>
              </a:graphicData>
            </a:graphic>
          </wp:inline>
        </w:drawing>
      </w:r>
    </w:p>
    <w:p>
      <w:pPr>
        <w:pStyle w:val="ImageCaption"/>
      </w:pPr>
      <w:r>
        <w:t xml:space="preserve">Hình 4.7, Spider chart 5 chiều × 2 mốc thời gian (Advanced, Emerging, SIDS)</w:t>
      </w:r>
    </w:p>
    <w:p>
      <w:pPr>
        <w:pStyle w:val="BodyText"/>
      </w:pPr>
      <w:r>
        <w:rPr>
          <w:iCs/>
          <w:i/>
        </w:rPr>
        <w:t xml:space="preserve">Hình 4.7. Radar/spider chart cho 3 phân nhóm con (Advanced, Emerging, SIDS) trên 5 chiều (FSTS, Innovation product, R&amp;D, Website, ISO) với 2 mốc thời gian (2009–2012 vs 2018–2025). Quan sát: SIDS có Innovation product cao đột biến + Website tăng mạnh giai đoạn 2018-2025 (digital leapfrog confirmed). Advanced ổn định high level. Emerging: ISO + R&amp;D thay đổi mạnh, FSTS giảm. Tái lập:</w:t>
      </w:r>
      <w:r>
        <w:rPr>
          <w:iCs/>
          <w:i/>
        </w:rPr>
        <w:t xml:space="preserve"> </w:t>
      </w:r>
      <w:r>
        <w:rPr>
          <w:rStyle w:val="VerbatimChar"/>
          <w:iCs/>
          <w:i/>
        </w:rPr>
        <w:t xml:space="preserve">generate_figures.py</w:t>
      </w:r>
      <w:r>
        <w:rPr>
          <w:iCs/>
          <w:i/>
        </w:rPr>
        <w:t xml:space="preserve"> </w:t>
      </w:r>
      <w:r>
        <w:rPr>
          <w:iCs/>
          <w:i/>
        </w:rPr>
        <w:t xml:space="preserve">function</w:t>
      </w:r>
      <w:r>
        <w:rPr>
          <w:iCs/>
          <w:i/>
        </w:rPr>
        <w:t xml:space="preserve"> </w:t>
      </w:r>
      <w:r>
        <w:rPr>
          <w:rStyle w:val="VerbatimChar"/>
          <w:iCs/>
          <w:i/>
        </w:rPr>
        <w:t xml:space="preserve">fig_4_7_spider_chart()</w:t>
      </w:r>
      <w:r>
        <w:rPr>
          <w:iCs/>
          <w:i/>
        </w:rPr>
        <w:t xml:space="preserve">.</w:t>
      </w:r>
    </w:p>
    <w:bookmarkEnd w:id="70"/>
    <w:bookmarkStart w:id="71" w:name="Xf9df93bb474e03b33e5eb8b9166e3e3f4caa8ec"/>
    <w:p>
      <w:pPr>
        <w:pStyle w:val="Heading5"/>
      </w:pPr>
      <w:r>
        <w:t xml:space="preserve">2.3.1.7 Tổng hợp Chương 4 (mở rộng D4 — 10 kết luận chính)</w:t>
      </w:r>
    </w:p>
    <w:p>
      <w:pPr>
        <w:pStyle w:val="FirstParagraph"/>
      </w:pPr>
      <w:r>
        <w:t xml:space="preserve">Mục §2.3 cung cấp bức tranh thực trạng đa chiều dựa trên</w:t>
      </w:r>
      <w:r>
        <w:t xml:space="preserve"> </w:t>
      </w:r>
      <w:r>
        <w:rPr>
          <w:bCs/>
          <w:b/>
        </w:rPr>
        <w:t xml:space="preserve">101.185 doanh nghiệp ở 47 nền kinh tế châu Á và Thái Bình Dương (108 cặp QG×năm) trong giai đoạn 2009–2025</w:t>
      </w:r>
      <w:r>
        <w:t xml:space="preserve"> </w:t>
      </w:r>
      <w:r>
        <w:t xml:space="preserve">từ nhóm dữ liệu WBES sau hài hòa. Đây là phạm vi rộng nhất từng có cho nghiên cứu I→P trong các nghiên cứu IB, mở rộng từ 17 nước châu Á mới nổi (Đỗ &amp; Phan, 2026, VEFR) khoảng 2,5 lần.</w:t>
      </w:r>
    </w:p>
    <w:p>
      <w:pPr>
        <w:pStyle w:val="BodyText"/>
      </w:pPr>
      <w:r>
        <w:rPr>
          <w:bCs/>
          <w:b/>
        </w:rPr>
        <w:t xml:space="preserve">Mười kết luận chính</w:t>
      </w:r>
      <w:r>
        <w:t xml:space="preserve">:</w:t>
      </w:r>
    </w:p>
    <w:p>
      <w:pPr>
        <w:pStyle w:val="BodyText"/>
      </w:pPr>
      <w:r>
        <w:rPr>
          <w:bCs/>
          <w:b/>
        </w:rPr>
        <w:t xml:space="preserve">(i) Phân tán năng suất nội bộ tăng đơn điệu khi phân nhóm con suy giảm</w:t>
      </w:r>
      <w:r>
        <w:t xml:space="preserve">: Advanced 0,86 → Upper-middle 1,29 ≈ Emerging 1,24 ≈ SIDS 1,32 → Frontier 1,36. Tỷ số P90/P10 leo từ 10,8 lần lên 39,6 lần. Pattern khẳng định</w:t>
      </w:r>
      <w:r>
        <w:t xml:space="preserve"> </w:t>
      </w:r>
      <w:r>
        <w:rPr>
          <w:bCs/>
          <w:b/>
        </w:rPr>
        <w:t xml:space="preserve">giả thuyết phân bổ sai nguồn lực</w:t>
      </w:r>
      <w:r>
        <w:t xml:space="preserve"> </w:t>
      </w:r>
      <w:r>
        <w:t xml:space="preserve">(Hsieh &amp; Klenow, 2009, 2014).</w:t>
      </w:r>
    </w:p>
    <w:p>
      <w:pPr>
        <w:pStyle w:val="BodyText"/>
      </w:pPr>
      <w:r>
        <w:rPr>
          <w:bCs/>
          <w:b/>
        </w:rPr>
        <w:t xml:space="preserve">(ii) Dị biệt nội bộ phân nhóm Advanced</w:t>
      </w:r>
      <w:r>
        <w:t xml:space="preserve">. Sự sụt giảm phân tán từ 1,00 (chỉ innovation-driven) xuống 0,86 (sau khi thêm Vùng Vịnh resource-driven) gợi ý cần</w:t>
      </w:r>
      <w:r>
        <w:t xml:space="preserve"> </w:t>
      </w:r>
      <w:r>
        <w:rPr>
          <w:bCs/>
          <w:b/>
        </w:rPr>
        <w:t xml:space="preserve">phân nhóm con (sub-grouping) Advanced</w:t>
      </w:r>
      <w:r>
        <w:t xml:space="preserve"> </w:t>
      </w:r>
      <w:r>
        <w:t xml:space="preserve">trong CĐ2. Tỷ số phân tán Singapore (1,03) so với Vùng Vịnh (0,49) ≈</w:t>
      </w:r>
      <w:r>
        <w:t xml:space="preserve"> </w:t>
      </w:r>
      <w:r>
        <w:rPr>
          <w:bCs/>
          <w:b/>
        </w:rPr>
        <w:t xml:space="preserve">2,1 lần</w:t>
      </w:r>
      <w:r>
        <w:t xml:space="preserve">, đã được tách trực quan trong</w:t>
      </w:r>
      <w:r>
        <w:t xml:space="preserve"> </w:t>
      </w:r>
      <w:r>
        <w:rPr>
          <w:bCs/>
          <w:b/>
        </w:rPr>
        <w:t xml:space="preserve">Bảng 4.1</w:t>
      </w:r>
      <w:r>
        <w:t xml:space="preserve">.</w:t>
      </w:r>
    </w:p>
    <w:p>
      <w:pPr>
        <w:pStyle w:val="BodyText"/>
      </w:pPr>
      <w:r>
        <w:rPr>
          <w:bCs/>
          <w:b/>
        </w:rPr>
        <w:t xml:space="preserve">(iii) Dị biệt nội bộ phân nhóm Emerging, 3 phân nhóm con</w:t>
      </w:r>
      <w:r>
        <w:t xml:space="preserve"> </w:t>
      </w:r>
      <w:r>
        <w:rPr>
          <w:iCs/>
          <w:i/>
        </w:rPr>
        <w:t xml:space="preserve">(NEW D1, §2.3.1.9)</w:t>
      </w:r>
      <w:r>
        <w:t xml:space="preserve">. FDI dẫn dắt SEA (VNM+IDN+PHL, FSTS 13,2%) ≠ dân số lớn (IND+LKA+JOR, FSTS 7,2%) ≠ tài nguyên (MNG, FSTS 5,0%). TCI ngược dấu:</w:t>
      </w:r>
      <w:r>
        <w:t xml:space="preserve"> </w:t>
      </w:r>
      <w:r>
        <w:rPr>
          <w:bCs/>
          <w:b/>
        </w:rPr>
        <w:t xml:space="preserve">học hỏi do FDI dẫn dắt vs học hỏi tự thân</w:t>
      </w:r>
      <w:r>
        <w:t xml:space="preserve"> </w:t>
      </w:r>
      <w:r>
        <w:t xml:space="preserve">(Cohen &amp; Levinthal, 1990).</w:t>
      </w:r>
    </w:p>
    <w:p>
      <w:pPr>
        <w:pStyle w:val="BodyText"/>
      </w:pPr>
      <w:r>
        <w:rPr>
          <w:bCs/>
          <w:b/>
        </w:rPr>
        <w:t xml:space="preserve">(iv) SIDS Thái Bình Dương (7 nước, n=1.371)</w:t>
      </w:r>
      <w:r>
        <w:t xml:space="preserve">: phân tán 1,32, đổi mới sản phẩm cao nhất (41,5%), website 58,9% gần Advanced.</w:t>
      </w:r>
      <w:r>
        <w:t xml:space="preserve"> </w:t>
      </w:r>
      <w:r>
        <w:rPr>
          <w:bCs/>
          <w:b/>
        </w:rPr>
        <w:t xml:space="preserve">Kiribati 2025 là trường hợp biên CỰC ĐOAN nhất với FSTS 1,03%, FDI 0,7%, website 18,7%, ISO 1,3%, gợi ý dị biệt nội bộ SIDS giữa</w:t>
      </w:r>
      <w:r>
        <w:rPr>
          <w:bCs/>
          <w:b/>
        </w:rPr>
        <w:t xml:space="preserve"> </w:t>
      </w:r>
      <w:r>
        <w:rPr>
          <w:bCs/>
          <w:b/>
        </w:rPr>
        <w:t xml:space="preserve">“</w:t>
      </w:r>
      <w:r>
        <w:rPr>
          <w:bCs/>
          <w:b/>
        </w:rPr>
        <w:t xml:space="preserve">high digital leapfrog</w:t>
      </w:r>
      <w:r>
        <w:rPr>
          <w:bCs/>
          <w:b/>
        </w:rPr>
        <w:t xml:space="preserve">”</w:t>
      </w:r>
      <w:r>
        <w:rPr>
          <w:bCs/>
          <w:b/>
        </w:rPr>
        <w:t xml:space="preserve"> </w:t>
      </w:r>
      <w:r>
        <w:rPr>
          <w:bCs/>
          <w:b/>
        </w:rPr>
        <w:t xml:space="preserve">(Fiji, Maldives) và</w:t>
      </w:r>
      <w:r>
        <w:rPr>
          <w:bCs/>
          <w:b/>
        </w:rPr>
        <w:t xml:space="preserve"> </w:t>
      </w:r>
      <w:r>
        <w:rPr>
          <w:bCs/>
          <w:b/>
        </w:rPr>
        <w:t xml:space="preserve">“</w:t>
      </w:r>
      <w:r>
        <w:rPr>
          <w:bCs/>
          <w:b/>
        </w:rPr>
        <w:t xml:space="preserve">isolated rural</w:t>
      </w:r>
      <w:r>
        <w:rPr>
          <w:bCs/>
          <w:b/>
        </w:rPr>
        <w:t xml:space="preserve">”</w:t>
      </w:r>
      <w:r>
        <w:rPr>
          <w:bCs/>
          <w:b/>
        </w:rPr>
        <w:t xml:space="preserve"> </w:t>
      </w:r>
      <w:r>
        <w:rPr>
          <w:bCs/>
          <w:b/>
        </w:rPr>
        <w:t xml:space="preserve">(Kiribati).</w:t>
      </w:r>
      <w:r>
        <w:t xml:space="preserve"> </w:t>
      </w:r>
      <w:r>
        <w:t xml:space="preserve">Cơ sở cho</w:t>
      </w:r>
      <w:r>
        <w:t xml:space="preserve"> </w:t>
      </w:r>
      <w:r>
        <w:rPr>
          <w:bCs/>
          <w:b/>
        </w:rPr>
        <w:t xml:space="preserve">H6 (forced internationalization penalty)</w:t>
      </w:r>
      <w:r>
        <w:t xml:space="preserve"> </w:t>
      </w:r>
      <w:r>
        <w:t xml:space="preserve">(Briguglio, 1995; Bertram, 2006).</w:t>
      </w:r>
    </w:p>
    <w:p>
      <w:pPr>
        <w:pStyle w:val="BodyText"/>
      </w:pPr>
      <w:r>
        <w:rPr>
          <w:bCs/>
          <w:b/>
        </w:rPr>
        <w:t xml:space="preserve">(v) Quốc tế hóa là hiện tượng phân cực</w:t>
      </w:r>
      <w:r>
        <w:t xml:space="preserve">: trung vị FSTS = 0% xuyên năm phân nhóm con; chỉ 15–23% doanh nghiệp xuất khẩu. Cần</w:t>
      </w:r>
      <w:r>
        <w:t xml:space="preserve"> </w:t>
      </w:r>
      <w:r>
        <w:rPr>
          <w:bCs/>
          <w:b/>
        </w:rPr>
        <w:t xml:space="preserve">lựa chọn hai giai đoạn (2-stage selection)</w:t>
      </w:r>
      <w:r>
        <w:t xml:space="preserve"> </w:t>
      </w:r>
      <w:r>
        <w:t xml:space="preserve">trong CĐ2.</w:t>
      </w:r>
    </w:p>
    <w:p>
      <w:pPr>
        <w:pStyle w:val="BodyText"/>
      </w:pPr>
      <w:r>
        <w:rPr>
          <w:bCs/>
          <w:b/>
        </w:rPr>
        <w:t xml:space="preserve">(vi) Nhảy vọt số (digital leapfrog) 2018–2025</w:t>
      </w:r>
      <w:r>
        <w:t xml:space="preserve"> </w:t>
      </w:r>
      <w:r>
        <w:t xml:space="preserve">ở Frontier/Emerging/SIDS (+20–43 đpt website), bằng chứng tái định vị Uppsala (Banalieva &amp; Dhanaraj, 2019).</w:t>
      </w:r>
      <w:r>
        <w:t xml:space="preserve"> </w:t>
      </w:r>
      <w:r>
        <w:rPr>
          <w:iCs/>
          <w:i/>
        </w:rPr>
        <w:t xml:space="preserve">Kiribati 2025 không thể hiện leapfrog (website 18,7%): cần điều kiện hạ tầng tối thiểu mà Kiribati chưa đạt.</w:t>
      </w:r>
      <w:r>
        <w:t xml:space="preserve"> </w:t>
      </w:r>
      <w:r>
        <w:rPr>
          <w:bCs/>
          <w:b/>
        </w:rPr>
        <w:t xml:space="preserve">: Cần phân biệt</w:t>
      </w:r>
      <w:r>
        <w:rPr>
          <w:bCs/>
          <w:b/>
        </w:rPr>
        <w:t xml:space="preserve"> </w:t>
      </w:r>
      <w:r>
        <w:t xml:space="preserve">Tier-1 Digital Presence** (website binary, đo trong Spec 1, đã bão hòa ở Advanced từ trước 2018) vs</w:t>
      </w:r>
      <w:r>
        <w:t xml:space="preserve"> </w:t>
      </w:r>
      <w:r>
        <w:rPr>
          <w:bCs/>
          <w:b/>
        </w:rPr>
        <w:t xml:space="preserve">Tier-2 Digital Transformation</w:t>
      </w:r>
      <w:r>
        <w:t xml:space="preserve"> </w:t>
      </w:r>
      <w:r>
        <w:t xml:space="preserve">(DAI multi-component: e-commerce, cloud, AI adoption, đo trong Spec 2 với 5 thành phần). Hệ số âm DAI ở Advanced trong Spec 1 (-0,129) KHÔNG phản ánh</w:t>
      </w:r>
      <w:r>
        <w:t xml:space="preserve"> </w:t>
      </w:r>
      <w:r>
        <w:t xml:space="preserve">“</w:t>
      </w:r>
      <w:r>
        <w:t xml:space="preserve">số hóa làm giảm năng suất</w:t>
      </w:r>
      <w:r>
        <w:t xml:space="preserve">”</w:t>
      </w:r>
      <w:r>
        <w:t xml:space="preserve"> </w:t>
      </w:r>
      <w:r>
        <w:t xml:space="preserve">mà là</w:t>
      </w:r>
      <w:r>
        <w:t xml:space="preserve"> </w:t>
      </w:r>
      <w:r>
        <w:rPr>
          <w:bCs/>
          <w:b/>
        </w:rPr>
        <w:t xml:space="preserve">artifact của Tier-1 saturation</w:t>
      </w:r>
      <w:r>
        <w:t xml:space="preserve"> </w:t>
      </w:r>
      <w:r>
        <w:t xml:space="preserve">ở các nước tiên tiến, xem §2.3.1.4.5 ICT exclusion test.</w:t>
      </w:r>
    </w:p>
    <w:p>
      <w:pPr>
        <w:pStyle w:val="BodyText"/>
      </w:pPr>
      <w:r>
        <w:rPr>
          <w:bCs/>
          <w:b/>
        </w:rPr>
        <w:t xml:space="preserve">(vii) Pattern phi tuyến FDI ≥10%</w:t>
      </w:r>
      <w:r>
        <w:t xml:space="preserve">, dạng chữ U với cực tiểu Emerging (4,7%): Advanced 11,1% → Upper-middle 8,4% → Emerging 4,7% → Frontier 5,9% → SIDS 23,5%. Hai mô hình FDI: (a) Advanced: MNE hub + Vùng Vịnh hạn chế; (b) SIDS: du lịch + viễn thông.</w:t>
      </w:r>
    </w:p>
    <w:p>
      <w:pPr>
        <w:pStyle w:val="BodyText"/>
      </w:pPr>
      <w:r>
        <w:rPr>
          <w:bCs/>
          <w:b/>
        </w:rPr>
        <w:t xml:space="preserve">(viii) Đợt khảo sát 2025, mẫu đơn năm lớn nhất</w:t>
      </w:r>
      <w:r>
        <w:t xml:space="preserve"> </w:t>
      </w:r>
      <w:r>
        <w:rPr>
          <w:iCs/>
          <w:i/>
        </w:rPr>
        <w:t xml:space="preserve">(NEW D2)</w:t>
      </w:r>
      <w:r>
        <w:t xml:space="preserve">.</w:t>
      </w:r>
      <w:r>
        <w:t xml:space="preserve"> </w:t>
      </w:r>
      <w:r>
        <w:rPr>
          <w:bCs/>
          <w:b/>
        </w:rPr>
        <w:t xml:space="preserve">14 nước × 17.107 doanh nghiệp</w:t>
      </w:r>
      <w:r>
        <w:t xml:space="preserve">: (a) IND FSTS sụt 5 đpt (schema + Atmanirbhar Bharat); (b) Fiji website 74,8% &gt; Singapore 66,1%;</w:t>
      </w:r>
      <w:r>
        <w:t xml:space="preserve"> </w:t>
      </w:r>
      <w:r>
        <w:rPr>
          <w:bCs/>
          <w:b/>
        </w:rPr>
        <w:t xml:space="preserve">Kiribati đối lập với website 18,7%, FSTS 1,03%</w:t>
      </w:r>
      <w:r>
        <w:t xml:space="preserve">; (c) Vùng Vịnh+Brunei resource-driven Advanced confirmed; (d) R&amp;D schema-induced overestimation cảnh báo.</w:t>
      </w:r>
    </w:p>
    <w:p>
      <w:pPr>
        <w:pStyle w:val="BodyText"/>
      </w:pPr>
      <w:r>
        <w:rPr>
          <w:bCs/>
          <w:b/>
        </w:rPr>
        <w:t xml:space="preserve">(ix) Khung phân tích cấp ngành (industry-level)</w:t>
      </w:r>
      <w:r>
        <w:t xml:space="preserve"> </w:t>
      </w:r>
      <w:r>
        <w:rPr>
          <w:iCs/>
          <w:i/>
        </w:rPr>
        <w:t xml:space="preserve">(NEW D3, §2.3.1.8)</w:t>
      </w:r>
      <w:r>
        <w:t xml:space="preserve">. 9 ngành ISIC Rev. 4: Manufacturing-only subsample, ICT exclusion test, Construction subsample test Vùng Vịnh, Tourism/Hotels separation cho SIDS. 5 giả thuyết I1-I5.</w:t>
      </w:r>
    </w:p>
    <w:p>
      <w:pPr>
        <w:pStyle w:val="BodyText"/>
      </w:pPr>
      <w:r>
        <w:rPr>
          <w:bCs/>
          <w:b/>
        </w:rPr>
        <w:t xml:space="preserve">(x) Pipeline tái lập được cho 4 thế hệ schema WBES</w:t>
      </w:r>
      <w:r>
        <w:t xml:space="preserve">. Pipeline 5 bước Python; tất cả Bảng 4.1–4.10, 5.1, 6.1, Phụ lục A đều tái tạo được.</w:t>
      </w:r>
      <w:r>
        <w:t xml:space="preserve"> </w:t>
      </w:r>
      <w:r>
        <w:rPr>
          <w:bCs/>
          <w:b/>
        </w:rPr>
        <w:t xml:space="preserve">Gói tái lập (replication package)</w:t>
      </w:r>
      <w:r>
        <w:t xml:space="preserve"> </w:t>
      </w:r>
      <w:r>
        <w:t xml:space="preserve">mở.</w:t>
      </w:r>
    </w:p>
    <w:p>
      <w:pPr>
        <w:pStyle w:val="BodyText"/>
      </w:pPr>
      <w:r>
        <w:rPr>
          <w:bCs/>
          <w:b/>
        </w:rPr>
        <w:t xml:space="preserve">Hàm ý cho CĐ2 và luận án</w:t>
      </w:r>
      <w:r>
        <w:t xml:space="preserve">:</w:t>
      </w:r>
    </w:p>
    <w:p>
      <w:pPr>
        <w:numPr>
          <w:ilvl w:val="0"/>
          <w:numId w:val="1010"/>
        </w:numPr>
        <w:pStyle w:val="Compact"/>
      </w:pPr>
      <w:r>
        <w:rPr>
          <w:bCs/>
          <w:b/>
        </w:rPr>
        <w:t xml:space="preserve">Hệ giả thuyết H1–H6 (phát biểu hình thức)</w:t>
      </w:r>
      <w:r>
        <w:t xml:space="preserve">. Mỗi giả thuyết nêu rõ dấu dự đoán, cơ chế lý thuyết được định danh và liên kết vận hành hóa với bằng chứng mô tả của CĐ1. Đây là</w:t>
      </w:r>
      <w:r>
        <w:t xml:space="preserve"> </w:t>
      </w:r>
      <w:r>
        <w:rPr>
          <w:iCs/>
          <w:i/>
        </w:rPr>
        <w:t xml:space="preserve">existence evidence</w:t>
      </w:r>
      <w:r>
        <w:t xml:space="preserve"> </w:t>
      </w:r>
      <w:r>
        <w:t xml:space="preserve">(bằng chứng tồn tại) của CĐ1;</w:t>
      </w:r>
      <w:r>
        <w:t xml:space="preserve"> </w:t>
      </w:r>
      <w:r>
        <w:rPr>
          <w:iCs/>
          <w:i/>
        </w:rPr>
        <w:t xml:space="preserve">magnitude evidence</w:t>
      </w:r>
      <w:r>
        <w:t xml:space="preserve"> </w:t>
      </w:r>
      <w:r>
        <w:t xml:space="preserve">(bằng chứng cường độ) sẽ do mô hình kiểm định của CĐ2 và phân tích tổng hợp bổ sung.</w:t>
      </w:r>
    </w:p>
    <w:p>
      <w:pPr>
        <w:numPr>
          <w:ilvl w:val="0"/>
          <w:numId w:val="1011"/>
        </w:numPr>
      </w:pPr>
      <w:r>
        <w:rPr>
          <w:bCs/>
          <w:b/>
        </w:rPr>
        <w:t xml:space="preserve">H1 (Quan hệ quốc tế hóa–năng suất phi tuyến)</w:t>
      </w:r>
      <w:r>
        <w:t xml:space="preserve">: Quan hệ giữa cường độ xuất khẩu (FSTS) và log năng suất có dạng chữ U ngược (inverted-U): hệ số bậc nhất β₁ &gt; 0 và hệ số bậc hai β₂ &lt; 0. Cơ chế là chi phí điều phối xuyên biên giới tăng phi tuyến vượt một ngưỡng tối ưu (Lu &amp; Beamish, 2004), khuếch đại bởi chi phí giao dịch thể chế (Coase, 1937; Williamson, 1985). Vận hành hóa: FSTS =</w:t>
      </w:r>
      <w:r>
        <w:t xml:space="preserve"> </w:t>
      </w:r>
      <w:r>
        <w:rPr>
          <w:rStyle w:val="VerbatimChar"/>
        </w:rPr>
        <w:t xml:space="preserve">d3b + d3c</w:t>
      </w:r>
      <w:r>
        <w:t xml:space="preserve">, FSTS² là bình phương đã trung tâm hóa; kiểm định Lind–Mehlum cho điểm uốn nội miền. Bằng chứng CĐ1 (Mục 6.1.2): điểm uốn Việt Nam ≈ 39–46% (Lind–Mehlum p &lt; 0,013), Trung Quốc ≈ 47,2–49,4% (kiểm định Paternoster bền vững).</w:t>
      </w:r>
    </w:p>
    <w:p>
      <w:pPr>
        <w:numPr>
          <w:ilvl w:val="0"/>
          <w:numId w:val="1011"/>
        </w:numPr>
      </w:pPr>
      <w:r>
        <w:rPr>
          <w:bCs/>
          <w:b/>
        </w:rPr>
        <w:t xml:space="preserve">H2 (TCI điều tiết quan hệ I–P)</w:t>
      </w:r>
      <w:r>
        <w:t xml:space="preserve">: Năng lực công nghệ (TCI = R&amp;D + ISO) điều tiết quan hệ FSTS–năng suất theo hướng</w:t>
      </w:r>
      <w:r>
        <w:t xml:space="preserve"> </w:t>
      </w:r>
      <w:r>
        <w:rPr>
          <w:iCs/>
          <w:i/>
        </w:rPr>
        <w:t xml:space="preserve">làm phẳng</w:t>
      </w:r>
      <w:r>
        <w:t xml:space="preserve"> </w:t>
      </w:r>
      <w:r>
        <w:t xml:space="preserve">đường cong chữ U ngược (hệ số tương tác TCI × FSTS² &gt; 0, tức giảm độ cong âm). Cơ chế là năng lực hấp thụ (absorptive capacity, Cohen &amp; Levinthal, 1990) giúp doanh nghiệp duy trì lợi ích quốc tế hóa ở mức xuất khẩu cao hơn. Vận hành hóa: TCI là chỉ số tổ hợp aspirational; tương tác TCI × FSTS và TCI × FSTS². Bằng chứng CĐ1 (Bảng 6.1): tương quan TCI–năng suất dương ở Advanced (+0,128) và SIDS (+0,155); ở Việt Nam TCI vận hành như</w:t>
      </w:r>
      <w:r>
        <w:t xml:space="preserve"> </w:t>
      </w:r>
      <w:r>
        <w:rPr>
          <w:iCs/>
          <w:i/>
        </w:rPr>
        <w:t xml:space="preserve">scarce advantage</w:t>
      </w:r>
      <w:r>
        <w:t xml:space="preserve"> </w:t>
      </w:r>
      <w:r>
        <w:t xml:space="preserve">(TCIz IV β = 1,639, p &lt; 0,001).</w:t>
      </w:r>
    </w:p>
    <w:p>
      <w:pPr>
        <w:numPr>
          <w:ilvl w:val="0"/>
          <w:numId w:val="1011"/>
        </w:numPr>
      </w:pPr>
      <w:r>
        <w:rPr>
          <w:bCs/>
          <w:b/>
        </w:rPr>
        <w:t xml:space="preserve">H3 (DAI có hiệu lực phụ thuộc cấp tầng và bối cảnh)</w:t>
      </w:r>
      <w:r>
        <w:t xml:space="preserve">: Tác động của áp dụng số (DAI) lên năng suất phụ thuộc điều kiện cấp tầng số hóa và chế độ thể chế: ở cấp Tier-1 (website đơn thành phần) tại Advanced đã bão hòa, hệ số tiến về không hoặc âm; ở cấp Tier-1+2 (đa thành phần) hệ số dương và tương tác DAI × FSTS² &gt; 0. Cơ chế là Mô hình Năng lực số phụ thuộc bối cảnh (CDCM) đặt trên khung 4 tầng của Verhoef et al. (2021): công cụ số chỉ tạo đòn bẩy khi cấp độ số hóa tương thích với mật độ giao dịch quốc tế. Vận hành hóa: DAI Tier-1 (website nhị phân, Spec 1) và DAI Tier-1+2 (5 thành phần, Spec 2). Bằng chứng CĐ1 (Bảng 4.4.5.1, 6.1.2): hệ số âm giả tạo −0,129 ở Advanced biến mất sau ICT exclusion test; tương tác DAI × FSTS² = +3,119 (p = 0,005) ở Singapore so với DAI × FSTS = −0,912 (p = 0,043) ở Việt Nam Tier-1.</w:t>
      </w:r>
    </w:p>
    <w:p>
      <w:pPr>
        <w:numPr>
          <w:ilvl w:val="0"/>
          <w:numId w:val="1011"/>
        </w:numPr>
      </w:pPr>
      <w:r>
        <w:rPr>
          <w:bCs/>
          <w:b/>
        </w:rPr>
        <w:t xml:space="preserve">H4 (Dị biệt theo phân nhóm con thể chế)</w:t>
      </w:r>
      <w:r>
        <w:t xml:space="preserve">: Dấu và cường độ của các hệ số FSTS, TCI, DAI khác biệt có hệ thống giữa các phân nhóm con ICRV (đảo dấu cross-regime), không thể quy về một hệ số chung. Cơ chế là biến thể chế kiểu Các biến thể của chủ nghĩa tư bản (Varieties of Capitalism, Hall &amp; Soskice, 2001) cùng khoảng cách de jure–de facto (Xu, 2024). Vận hành hóa: hiệu ứng cố định (fixed effects) theo</w:t>
      </w:r>
      <w:r>
        <w:t xml:space="preserve"> </w:t>
      </w:r>
      <w:r>
        <w:rPr>
          <w:bCs/>
          <w:b/>
        </w:rPr>
        <w:t xml:space="preserve">8 phân nhóm con</w:t>
      </w:r>
      <w:r>
        <w:t xml:space="preserve"> </w:t>
      </w:r>
      <w:r>
        <w:t xml:space="preserve">(liệt kê ở mục (b)) cùng các số hạng tương tác phân nhóm con × biến cốt lõi. Bằng chứng CĐ1 (Bảng 6.1): bốn lần đảo dấu xuyên phân nhóm con cho FDI, FSTS, TCI, DAI.</w:t>
      </w:r>
    </w:p>
    <w:p>
      <w:pPr>
        <w:numPr>
          <w:ilvl w:val="0"/>
          <w:numId w:val="1011"/>
        </w:numPr>
      </w:pPr>
      <w:r>
        <w:rPr>
          <w:bCs/>
          <w:b/>
        </w:rPr>
        <w:t xml:space="preserve">H5 (Cụm tài nguyên thu hẹp phân tán và đảo chiều phân bổ sai)</w:t>
      </w:r>
      <w:r>
        <w:t xml:space="preserve">: Các nền kinh tế tài nguyên dẫn dắt (Advanced resource-driven Vùng Vịnh) thể hiện phân tán năng suất hẹp hơn và tương quan FSTS–năng suất yếu hơn so với nhóm đổi mới sáng tạo dẫn dắt cùng cấp. Cơ chế là logic nhà nước tô (rentier state, Beblawi, 1987; Hertog, 2010) bóp méo kỷ luật thị trường. Vận hành hóa: chỉ báo phân nhóm con resource-driven và độ lệch chuẩn log năng suất theo cụm. Bằng chứng CĐ1 (Bảng 4.1, Mục 5.2): sd log Vùng Vịnh 0,31–0,49 so với Singapore 1,03 (tỷ số ≈ 2,1 lần).</w:t>
      </w:r>
    </w:p>
    <w:p>
      <w:pPr>
        <w:numPr>
          <w:ilvl w:val="0"/>
          <w:numId w:val="1011"/>
        </w:numPr>
      </w:pPr>
      <w:r>
        <w:rPr>
          <w:bCs/>
          <w:b/>
        </w:rPr>
        <w:t xml:space="preserve">H6 (Chi phí buộc phải quốc tế hóa ở SIDS biên)</w:t>
      </w:r>
      <w:r>
        <w:t xml:space="preserve">: Ở các SIDS Thái Bình Dương biên (đặc biệt Kiribati cực đoan), quan hệ FSTS–năng suất không vận hành theo chữ U ngược (hệ số FSTS không có ý nghĩa thống kê hoặc đảo dấu so với Advanced/Emerging) vì quốc tế hóa là</w:t>
      </w:r>
      <w:r>
        <w:t xml:space="preserve"> </w:t>
      </w:r>
      <w:r>
        <w:rPr>
          <w:iCs/>
          <w:i/>
        </w:rPr>
        <w:t xml:space="preserve">buộc phải</w:t>
      </w:r>
      <w:r>
        <w:t xml:space="preserve"> </w:t>
      </w:r>
      <w:r>
        <w:t xml:space="preserve">chứ không phải lựa chọn tối ưu. Cơ chế là tính dễ tổn thương cấu trúc của nền kinh tế đảo nhỏ (Briguglio, 1995) và mô hình MIRAB (Bertram, 2006), làm thất bại ba điều kiện cấu trúc của đường cong U (Bảng 2.6.1 mục §2.1–§2.2 chuyên đề). Vận hành hóa: chỉ báo phân nhóm con SIDS và số hạng tương tác SIDS × FSTS. Bằng chứng CĐ1 (Mục 5.7): Kiribati 2025 với FSTS 1,03%, FDI 0,7%, website 18,7%, ISO 1,3% là trường hợp biên cực đoan nhất pool.</w:t>
      </w:r>
    </w:p>
    <w:p>
      <w:pPr>
        <w:numPr>
          <w:ilvl w:val="0"/>
          <w:numId w:val="1012"/>
        </w:numPr>
      </w:pPr>
      <w:r>
        <w:rPr>
          <w:bCs/>
          <w:b/>
        </w:rPr>
        <w:t xml:space="preserve">Tám phân nhóm con với hiệu ứng cố định cho CĐ2</w:t>
      </w:r>
      <w:r>
        <w:t xml:space="preserve"> </w:t>
      </w:r>
      <w:r>
        <w:t xml:space="preserve">(số đếm chốt thống nhất là</w:t>
      </w:r>
      <w:r>
        <w:t xml:space="preserve"> </w:t>
      </w:r>
      <w:r>
        <w:rPr>
          <w:bCs/>
          <w:b/>
        </w:rPr>
        <w:t xml:space="preserve">8</w:t>
      </w:r>
      <w:r>
        <w:t xml:space="preserve">). Danh sách rõ ràng: (1) Advanced đổi mới sáng tạo dẫn dắt; (2) Advanced tài nguyên dẫn dắt; (3) Upper-middle; (4) Emerging, FDI dẫn dắt SEA (VNM, IDN, PHL); (5) Emerging, dân số lớn (IND, LKA, JOR); (6) Emerging, tài nguyên (MNG); (7) Frontier; (8) SIDS Thái Bình Dương. Cách đếm này tách phân nhóm con Advanced làm hai (innovation- vs resource-driven, Mục 4.2 + 5.2) và tách phân nhóm con Emerging làm ba (Bảng 4.9), tổng cộng 8.</w:t>
      </w:r>
      <w:r>
        <w:t xml:space="preserve"> </w:t>
      </w:r>
      <w:r>
        <w:rPr>
          <w:bCs/>
          <w:b/>
        </w:rPr>
        <w:t xml:space="preserve">Phương án mở rộng tùy chọn 9 phân nhóm con</w:t>
      </w:r>
      <w:r>
        <w:t xml:space="preserve"> </w:t>
      </w:r>
      <w:r>
        <w:t xml:space="preserve">chỉ xuất hiện như một biến thể kiểm định độ vững, khi tách thêm SIDS thành</w:t>
      </w:r>
      <w:r>
        <w:t xml:space="preserve"> </w:t>
      </w:r>
      <w:r>
        <w:t xml:space="preserve">“</w:t>
      </w:r>
      <w:r>
        <w:t xml:space="preserve">high-digital</w:t>
      </w:r>
      <w:r>
        <w:t xml:space="preserve">”</w:t>
      </w:r>
      <w:r>
        <w:t xml:space="preserve"> </w:t>
      </w:r>
      <w:r>
        <w:t xml:space="preserve">(Fiji, Maldives) so với</w:t>
      </w:r>
      <w:r>
        <w:t xml:space="preserve"> </w:t>
      </w:r>
      <w:r>
        <w:t xml:space="preserve">“</w:t>
      </w:r>
      <w:r>
        <w:t xml:space="preserve">isolated rural</w:t>
      </w:r>
      <w:r>
        <w:t xml:space="preserve">”</w:t>
      </w:r>
      <w:r>
        <w:t xml:space="preserve"> </w:t>
      </w:r>
      <w:r>
        <w:t xml:space="preserve">(Kiribati), xem Bảng 4.10 phát hiện (7) và hàm ý (f); con số nền tảng dùng xuyên CĐ1/CĐ2 là 8.</w:t>
      </w:r>
    </w:p>
    <w:p>
      <w:pPr>
        <w:numPr>
          <w:ilvl w:val="0"/>
          <w:numId w:val="1012"/>
        </w:numPr>
      </w:pPr>
      <w:r>
        <w:rPr>
          <w:bCs/>
          <w:b/>
        </w:rPr>
        <w:t xml:space="preserve">Hai đặc tả mô hình kiểm định vững</w:t>
      </w:r>
      <w:r>
        <w:t xml:space="preserve">: Đặc tả 1: phạm vi đầy đủ (n=101.185); Đặc tả 2: 2018-2025 (n≈50.000, DAI/TCI 5 thành phần).</w:t>
      </w:r>
    </w:p>
    <w:p>
      <w:pPr>
        <w:numPr>
          <w:ilvl w:val="0"/>
          <w:numId w:val="1012"/>
        </w:numPr>
      </w:pPr>
      <w:r>
        <w:rPr>
          <w:bCs/>
          <w:b/>
        </w:rPr>
        <w:t xml:space="preserve">Industry FE + 5 kiểm định vững mẫu con</w:t>
      </w:r>
      <w:r>
        <w:t xml:space="preserve"> </w:t>
      </w:r>
      <w:r>
        <w:rPr>
          <w:iCs/>
          <w:i/>
        </w:rPr>
        <w:t xml:space="preserve">(NEW D3)</w:t>
      </w:r>
      <w:r>
        <w:t xml:space="preserve">.</w:t>
      </w:r>
    </w:p>
    <w:p>
      <w:pPr>
        <w:pStyle w:val="FirstParagraph"/>
      </w:pPr>
      <w:r>
        <w:rPr>
          <w:bCs/>
          <w:b/>
        </w:rPr>
        <w:t xml:space="preserve">Phạm vi không trình bày</w:t>
      </w:r>
      <w:r>
        <w:t xml:space="preserve">: hồi quy đa biến (CĐ2); panel/IV identification (CĐ2); industry-level descriptive tables (Phase 2 7/2026); năng suất USD PPP (Phase 1 6/2026); resource dependence trực tiếp (Phase 1).</w:t>
      </w:r>
    </w:p>
    <w:bookmarkEnd w:id="71"/>
    <w:bookmarkStart w:id="72" w:name="X34a9f8f22bd59439dbbb370c5527a9d482450a4"/>
    <w:p>
      <w:pPr>
        <w:pStyle w:val="Heading5"/>
      </w:pPr>
      <w:r>
        <w:t xml:space="preserve">2.3.1.7.5 Phân biệt 3 thuật ngữ tham nhũng trong WBES — Bribery vs Graft</w:t>
      </w:r>
    </w:p>
    <w:p>
      <w:pPr>
        <w:pStyle w:val="BlockText"/>
      </w:pPr>
      <w:r>
        <w:rPr>
          <w:bCs/>
          <w:b/>
        </w:rPr>
        <w:t xml:space="preserve">Nguồn chuẩn</w:t>
      </w:r>
      <w:r>
        <w:t xml:space="preserve">: World Bank (n.d.).</w:t>
      </w:r>
      <w:r>
        <w:t xml:space="preserve"> </w:t>
      </w:r>
      <w:r>
        <w:rPr>
          <w:iCs/>
          <w:i/>
        </w:rPr>
        <w:t xml:space="preserve">Tài liệu tóm tắt: Các chỉ số khảo sát doanh nghiệp Enterprise Surveys</w:t>
      </w:r>
      <w:r>
        <w:t xml:space="preserve"> </w:t>
      </w:r>
      <w:r>
        <w:t xml:space="preserve">(file 04 v2.5 Section L). Cross-cite glossary v1.2 Nhóm 6 #53-54 + Nhóm 7 #64-66.</w:t>
      </w:r>
    </w:p>
    <w:p>
      <w:pPr>
        <w:pStyle w:val="FirstParagraph"/>
      </w:pPr>
      <w:r>
        <w:t xml:space="preserve">WBES đo lường tham nhũng qua</w:t>
      </w:r>
      <w:r>
        <w:t xml:space="preserve"> </w:t>
      </w:r>
      <w:r>
        <w:rPr>
          <w:bCs/>
          <w:b/>
        </w:rPr>
        <w:t xml:space="preserve">3 chỉ số riêng biệt</w:t>
      </w:r>
      <w:r>
        <w:t xml:space="preserve">, phân biệt rõ giữa</w:t>
      </w:r>
      <w:r>
        <w:t xml:space="preserve"> </w:t>
      </w:r>
      <w:r>
        <w:rPr>
          <w:bCs/>
          <w:b/>
        </w:rPr>
        <w:t xml:space="preserve">hành vi chủ thể</w:t>
      </w:r>
      <w:r>
        <w:t xml:space="preserve"> </w:t>
      </w:r>
      <w:r>
        <w:t xml:space="preserve">(subject behavior, hối lộ vs tham ô) và</w:t>
      </w:r>
      <w:r>
        <w:t xml:space="preserve"> </w:t>
      </w:r>
      <w:r>
        <w:rPr>
          <w:bCs/>
          <w:b/>
        </w:rPr>
        <w:t xml:space="preserve">mức độ phổ biến</w:t>
      </w:r>
      <w:r>
        <w:t xml:space="preserve"> </w:t>
      </w:r>
      <w:r>
        <w:t xml:space="preserve">(incidence vs depth). Sự phân biệt này quan trọng cho phân tích chính sách: hối lộ và tham ô có nguyên nhân + giải pháp khác nhau, dù đôi khi gộp chung dưới label</w:t>
      </w:r>
      <w:r>
        <w:t xml:space="preserve"> </w:t>
      </w:r>
      <w:r>
        <w:t xml:space="preserve">“</w:t>
      </w:r>
      <w:r>
        <w:t xml:space="preserve">tham nhũng</w:t>
      </w:r>
      <w:r>
        <w:t xml:space="preserve">”</w:t>
      </w:r>
      <w:r>
        <w:t xml:space="preserve"> </w:t>
      </w:r>
      <w:r>
        <w:t xml:space="preserve">trong các nghiên cứu chính sách Việt Nam.</w:t>
      </w:r>
    </w:p>
    <w:p>
      <w:pPr>
        <w:pStyle w:val="BodyText"/>
      </w:pPr>
      <w:r>
        <w:rPr>
          <w:bCs/>
          <w:b/>
        </w:rPr>
        <w:t xml:space="preserve">Bảng 4.7.5</w:t>
      </w:r>
      <w:r>
        <w:t xml:space="preserve">.</w:t>
      </w:r>
      <w:r>
        <w:t xml:space="preserve"> </w:t>
      </w:r>
      <w:r>
        <w:rPr>
          <w:iCs/>
          <w:i/>
        </w:rPr>
        <w:t xml:space="preserve">Phân biệt 3 chỉ số tham nhũng WBES, định nghĩa chính thức + cách đo + ngưỡng cảnh báo.</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Chỉ số (Tiếng Anh)</w:t>
            </w:r>
          </w:p>
        </w:tc>
        <w:tc>
          <w:tcPr/>
          <w:p>
            <w:pPr>
              <w:pStyle w:val="Compact"/>
              <w:jc w:val="left"/>
            </w:pPr>
            <w:r>
              <w:t xml:space="preserve">Tiếng Việt CHUẨN WB</w:t>
            </w:r>
          </w:p>
        </w:tc>
        <w:tc>
          <w:tcPr/>
          <w:p>
            <w:pPr>
              <w:pStyle w:val="Compact"/>
              <w:jc w:val="left"/>
            </w:pPr>
            <w:r>
              <w:t xml:space="preserve">Định nghĩa</w:t>
            </w:r>
          </w:p>
        </w:tc>
        <w:tc>
          <w:tcPr/>
          <w:p>
            <w:pPr>
              <w:pStyle w:val="Compact"/>
              <w:jc w:val="left"/>
            </w:pPr>
            <w:r>
              <w:t xml:space="preserve">Cách đo (công thức)</w:t>
            </w:r>
          </w:p>
        </w:tc>
        <w:tc>
          <w:tcPr/>
          <w:p>
            <w:pPr>
              <w:pStyle w:val="Compact"/>
              <w:jc w:val="left"/>
            </w:pPr>
            <w:r>
              <w:t xml:space="preserve">Ngưỡng cảnh báo</w:t>
            </w:r>
          </w:p>
        </w:tc>
      </w:tr>
      <w:tr>
        <w:tc>
          <w:tcPr/>
          <w:p>
            <w:pPr>
              <w:pStyle w:val="Compact"/>
              <w:jc w:val="left"/>
            </w:pPr>
            <w:r>
              <w:t xml:space="preserve">(a)</w:t>
            </w:r>
          </w:p>
        </w:tc>
        <w:tc>
          <w:tcPr/>
          <w:p>
            <w:pPr>
              <w:pStyle w:val="Compact"/>
              <w:jc w:val="left"/>
            </w:pPr>
            <w:r>
              <w:rPr>
                <w:bCs/>
                <w:b/>
              </w:rPr>
              <w:t xml:space="preserve">Bribery</w:t>
            </w:r>
            <w:r>
              <w:t xml:space="preserve"> </w:t>
            </w:r>
            <w:r>
              <w:rPr>
                <w:iCs/>
                <w:i/>
              </w:rPr>
              <w:t xml:space="preserve">(khái niệm gốc)</w:t>
            </w:r>
          </w:p>
        </w:tc>
        <w:tc>
          <w:tcPr/>
          <w:p>
            <w:pPr>
              <w:pStyle w:val="Compact"/>
              <w:jc w:val="left"/>
            </w:pPr>
            <w:r>
              <w:rPr>
                <w:bCs/>
                <w:b/>
              </w:rPr>
              <w:t xml:space="preserve">Hối lộ</w:t>
            </w:r>
          </w:p>
        </w:tc>
        <w:tc>
          <w:tcPr/>
          <w:p>
            <w:pPr>
              <w:pStyle w:val="Compact"/>
              <w:jc w:val="left"/>
            </w:pPr>
            <w:r>
              <w:t xml:space="preserve">Hành vi đưa/nhận tiền/quà cho lợi thế trong giao dịch công (cấp phép, thanh tra, hoàn thuế, kết nối điện thoại/điện)</w:t>
            </w:r>
          </w:p>
        </w:tc>
        <w:tc>
          <w:tcPr/>
          <w:p>
            <w:pPr>
              <w:pStyle w:val="Compact"/>
              <w:jc w:val="left"/>
            </w:pPr>
            <w:r>
              <w:t xml:space="preserve">(đo qua 3 chỉ số dưới đây)</w:t>
            </w:r>
          </w:p>
        </w:tc>
        <w:tc>
          <w:tcPr/>
          <w:p>
            <w:pPr>
              <w:pStyle w:val="Compact"/>
              <w:jc w:val="left"/>
            </w:pPr>
            <w:r>
              <w:t xml:space="preserve">—</w:t>
            </w:r>
          </w:p>
        </w:tc>
      </w:tr>
      <w:tr>
        <w:tc>
          <w:tcPr/>
          <w:p>
            <w:pPr>
              <w:pStyle w:val="Compact"/>
              <w:jc w:val="left"/>
            </w:pPr>
            <w:r>
              <w:t xml:space="preserve">(b)</w:t>
            </w:r>
          </w:p>
        </w:tc>
        <w:tc>
          <w:tcPr/>
          <w:p>
            <w:pPr>
              <w:pStyle w:val="Compact"/>
              <w:jc w:val="left"/>
            </w:pPr>
            <w:r>
              <w:rPr>
                <w:bCs/>
                <w:b/>
              </w:rPr>
              <w:t xml:space="preserve">Graft</w:t>
            </w:r>
            <w:r>
              <w:t xml:space="preserve"> </w:t>
            </w:r>
            <w:r>
              <w:rPr>
                <w:iCs/>
                <w:i/>
              </w:rPr>
              <w:t xml:space="preserve">(khái niệm gốc)</w:t>
            </w:r>
          </w:p>
        </w:tc>
        <w:tc>
          <w:tcPr/>
          <w:p>
            <w:pPr>
              <w:pStyle w:val="Compact"/>
              <w:jc w:val="left"/>
            </w:pPr>
            <w:r>
              <w:rPr>
                <w:bCs/>
                <w:b/>
              </w:rPr>
              <w:t xml:space="preserve">Tham ô</w:t>
            </w:r>
            <w:r>
              <w:t xml:space="preserve"> </w:t>
            </w:r>
            <w:r>
              <w:rPr>
                <w:iCs/>
                <w:i/>
              </w:rPr>
              <w:t xml:space="preserve">(rộng hơn hối lộ)</w:t>
            </w:r>
          </w:p>
        </w:tc>
        <w:tc>
          <w:tcPr/>
          <w:p>
            <w:pPr>
              <w:pStyle w:val="Compact"/>
              <w:jc w:val="left"/>
            </w:pPr>
            <w:r>
              <w:t xml:space="preserve">Biển thủ công quỹ + lạm dụng chức vụ trục lợi cá nhân</w:t>
            </w:r>
          </w:p>
        </w:tc>
        <w:tc>
          <w:tcPr/>
          <w:p>
            <w:pPr>
              <w:pStyle w:val="Compact"/>
              <w:jc w:val="left"/>
            </w:pPr>
            <w:r>
              <w:t xml:space="preserve">(đo qua chỉ số (b-1) dưới đây)</w:t>
            </w:r>
          </w:p>
        </w:tc>
        <w:tc>
          <w:tcPr/>
          <w:p>
            <w:pPr>
              <w:pStyle w:val="Compact"/>
              <w:jc w:val="left"/>
            </w:pPr>
            <w:r>
              <w:t xml:space="preserve">—</w:t>
            </w:r>
          </w:p>
        </w:tc>
      </w:tr>
      <w:tr>
        <w:tc>
          <w:tcPr/>
          <w:p>
            <w:pPr>
              <w:pStyle w:val="Compact"/>
              <w:jc w:val="left"/>
            </w:pPr>
            <w:r>
              <w:t xml:space="preserve">(a-1)</w:t>
            </w:r>
          </w:p>
        </w:tc>
        <w:tc>
          <w:tcPr/>
          <w:p>
            <w:pPr>
              <w:pStyle w:val="Compact"/>
              <w:jc w:val="left"/>
            </w:pPr>
            <w:r>
              <w:rPr>
                <w:bCs/>
                <w:b/>
              </w:rPr>
              <w:t xml:space="preserve">Bribery Incidence</w:t>
            </w:r>
          </w:p>
        </w:tc>
        <w:tc>
          <w:tcPr/>
          <w:p>
            <w:pPr>
              <w:pStyle w:val="Compact"/>
              <w:jc w:val="left"/>
            </w:pPr>
            <w:r>
              <w:rPr>
                <w:bCs/>
                <w:b/>
              </w:rPr>
              <w:t xml:space="preserve">Tỷ lệ hối lộ</w:t>
            </w:r>
          </w:p>
        </w:tc>
        <w:tc>
          <w:tcPr/>
          <w:p>
            <w:pPr>
              <w:pStyle w:val="Compact"/>
              <w:jc w:val="left"/>
            </w:pPr>
            <w:r>
              <w:t xml:space="preserve">% DN gặp ít nhất 1 yêu cầu hối lộ trong 6 giao dịch công khảo sát</w:t>
            </w:r>
          </w:p>
        </w:tc>
        <w:tc>
          <w:tcPr/>
          <w:p>
            <w:pPr>
              <w:pStyle w:val="Compact"/>
              <w:jc w:val="left"/>
            </w:pPr>
            <w:r>
              <w:t xml:space="preserve">Tử số: # DN có ≥1 yêu cầu hối lộ; Mẫu: # DN trong khảo sát có giao dịch trong 6 dạng</w:t>
            </w:r>
          </w:p>
        </w:tc>
        <w:tc>
          <w:tcPr/>
          <w:p>
            <w:pPr>
              <w:pStyle w:val="Compact"/>
              <w:jc w:val="left"/>
            </w:pPr>
            <w:r>
              <w:t xml:space="preserve">&gt;20% = báo động đỏ</w:t>
            </w:r>
          </w:p>
        </w:tc>
      </w:tr>
      <w:tr>
        <w:tc>
          <w:tcPr/>
          <w:p>
            <w:pPr>
              <w:pStyle w:val="Compact"/>
              <w:jc w:val="left"/>
            </w:pPr>
            <w:r>
              <w:t xml:space="preserve">(a-2)</w:t>
            </w:r>
          </w:p>
        </w:tc>
        <w:tc>
          <w:tcPr/>
          <w:p>
            <w:pPr>
              <w:pStyle w:val="Compact"/>
              <w:jc w:val="left"/>
            </w:pPr>
            <w:r>
              <w:rPr>
                <w:bCs/>
                <w:b/>
              </w:rPr>
              <w:t xml:space="preserve">Bribery Depth</w:t>
            </w:r>
          </w:p>
        </w:tc>
        <w:tc>
          <w:tcPr/>
          <w:p>
            <w:pPr>
              <w:pStyle w:val="Compact"/>
              <w:jc w:val="left"/>
            </w:pPr>
            <w:r>
              <w:rPr>
                <w:bCs/>
                <w:b/>
              </w:rPr>
              <w:t xml:space="preserve">Độ sâu hối lộ</w:t>
            </w:r>
          </w:p>
        </w:tc>
        <w:tc>
          <w:tcPr/>
          <w:p>
            <w:pPr>
              <w:pStyle w:val="Compact"/>
              <w:jc w:val="left"/>
            </w:pPr>
            <w:r>
              <w:t xml:space="preserve">% giao dịch công có hối lộ trên tổng số giao dịch công của DN</w:t>
            </w:r>
          </w:p>
        </w:tc>
        <w:tc>
          <w:tcPr/>
          <w:p>
            <w:pPr>
              <w:pStyle w:val="Compact"/>
              <w:jc w:val="left"/>
            </w:pPr>
            <w:r>
              <w:t xml:space="preserve">Tử số: # giao dịch có hối lộ; Mẫu: tổng # giao dịch công</w:t>
            </w:r>
          </w:p>
        </w:tc>
        <w:tc>
          <w:tcPr/>
          <w:p>
            <w:pPr>
              <w:pStyle w:val="Compact"/>
              <w:jc w:val="left"/>
            </w:pPr>
            <w:r>
              <w:t xml:space="preserve">&gt;15% = báo động đỏ</w:t>
            </w:r>
          </w:p>
        </w:tc>
      </w:tr>
      <w:tr>
        <w:tc>
          <w:tcPr/>
          <w:p>
            <w:pPr>
              <w:pStyle w:val="Compact"/>
              <w:jc w:val="left"/>
            </w:pPr>
            <w:r>
              <w:t xml:space="preserve">(b-1)</w:t>
            </w:r>
          </w:p>
        </w:tc>
        <w:tc>
          <w:tcPr/>
          <w:p>
            <w:pPr>
              <w:pStyle w:val="Compact"/>
              <w:jc w:val="left"/>
            </w:pPr>
            <w:r>
              <w:rPr>
                <w:bCs/>
                <w:b/>
              </w:rPr>
              <w:t xml:space="preserve">Graft Index</w:t>
            </w:r>
          </w:p>
        </w:tc>
        <w:tc>
          <w:tcPr/>
          <w:p>
            <w:pPr>
              <w:pStyle w:val="Compact"/>
              <w:jc w:val="left"/>
            </w:pPr>
            <w:r>
              <w:rPr>
                <w:bCs/>
                <w:b/>
              </w:rPr>
              <w:t xml:space="preserve">Chỉ số tham ô</w:t>
            </w:r>
          </w:p>
        </w:tc>
        <w:tc>
          <w:tcPr/>
          <w:p>
            <w:pPr>
              <w:pStyle w:val="Compact"/>
              <w:jc w:val="left"/>
            </w:pPr>
            <w:r>
              <w:t xml:space="preserve">Tỷ lệ hối lộ trong 6 giao dịch (gồm kết nối điện thoại/điện) NHƯNG</w:t>
            </w:r>
            <w:r>
              <w:t xml:space="preserve"> </w:t>
            </w:r>
            <w:r>
              <w:rPr>
                <w:bCs/>
                <w:b/>
              </w:rPr>
              <w:t xml:space="preserve">loại trừ thanh tra thuế</w:t>
            </w:r>
          </w:p>
        </w:tc>
        <w:tc>
          <w:tcPr/>
          <w:p>
            <w:pPr>
              <w:pStyle w:val="Compact"/>
              <w:jc w:val="left"/>
            </w:pPr>
            <w:r>
              <w:t xml:space="preserve">Tử số: như Bribery Incidence; Mẫu: 5 giao dịch (loại bỏ tax inspection vì thiên lệch khai thuế)</w:t>
            </w:r>
          </w:p>
        </w:tc>
        <w:tc>
          <w:tcPr/>
          <w:p>
            <w:pPr>
              <w:pStyle w:val="Compact"/>
              <w:jc w:val="left"/>
            </w:pPr>
            <w:r>
              <w:t xml:space="preserve">&gt;10% = báo động đỏ</w:t>
            </w:r>
          </w:p>
        </w:tc>
      </w:tr>
    </w:tbl>
    <w:p>
      <w:pPr>
        <w:pStyle w:val="BodyText"/>
      </w:pPr>
      <w:r>
        <w:rPr>
          <w:bCs/>
          <w:b/>
        </w:rPr>
        <w:t xml:space="preserve">Tại sao loại trừ thanh tra thuế khỏi Graft Index</w:t>
      </w:r>
      <w:r>
        <w:t xml:space="preserve">: Doanh nghiệp khai báo</w:t>
      </w:r>
      <w:r>
        <w:t xml:space="preserve"> </w:t>
      </w:r>
      <w:r>
        <w:t xml:space="preserve">“</w:t>
      </w:r>
      <w:r>
        <w:t xml:space="preserve">phải hối lộ thanh tra thuế</w:t>
      </w:r>
      <w:r>
        <w:t xml:space="preserve">”</w:t>
      </w:r>
      <w:r>
        <w:t xml:space="preserve"> </w:t>
      </w:r>
      <w:r>
        <w:t xml:space="preserve">có thể bị thiên lệch (selection bias) vì những DN trốn thuế dễ thừa nhận (do đã có hành vi vi phạm), trong khi DN tuân thủ thuế ít gặp tình huống thanh tra cụ thể. Loại trừ tax inspection giúp Graft Index phản ánh</w:t>
      </w:r>
      <w:r>
        <w:t xml:space="preserve"> </w:t>
      </w:r>
      <w:r>
        <w:rPr>
          <w:bCs/>
          <w:b/>
        </w:rPr>
        <w:t xml:space="preserve">tham ô hệ thống</w:t>
      </w:r>
      <w:r>
        <w:t xml:space="preserve"> </w:t>
      </w:r>
      <w:r>
        <w:t xml:space="preserve">(systemic graft) thay vì hành vi cá biệt liên quan đến trốn thuế.</w:t>
      </w:r>
    </w:p>
    <w:p>
      <w:pPr>
        <w:pStyle w:val="BodyText"/>
      </w:pPr>
      <w:r>
        <w:rPr>
          <w:bCs/>
          <w:b/>
        </w:rPr>
        <w:t xml:space="preserve">Hàm ý cho CĐ2 và luận án</w:t>
      </w:r>
      <w:r>
        <w:t xml:space="preserve">:</w:t>
      </w:r>
      <w:r>
        <w:t xml:space="preserve"> </w:t>
      </w:r>
      <w:r>
        <w:t xml:space="preserve">-</w:t>
      </w:r>
      <w:r>
        <w:t xml:space="preserve"> </w:t>
      </w:r>
      <w:r>
        <w:rPr>
          <w:bCs/>
          <w:b/>
        </w:rPr>
        <w:t xml:space="preserve">(1) CĐ1 v3.x</w:t>
      </w:r>
      <w:r>
        <w:t xml:space="preserve"> </w:t>
      </w:r>
      <w:r>
        <w:t xml:space="preserve">sẽ dùng</w:t>
      </w:r>
      <w:r>
        <w:t xml:space="preserve"> </w:t>
      </w:r>
      <w:r>
        <w:t xml:space="preserve">“</w:t>
      </w:r>
      <w:r>
        <w:t xml:space="preserve">Hối lộ</w:t>
      </w:r>
      <w:r>
        <w:t xml:space="preserve">”</w:t>
      </w:r>
      <w:r>
        <w:t xml:space="preserve"> </w:t>
      </w:r>
      <w:r>
        <w:t xml:space="preserve">(Bribery) và</w:t>
      </w:r>
      <w:r>
        <w:t xml:space="preserve"> </w:t>
      </w:r>
      <w:r>
        <w:t xml:space="preserve">“</w:t>
      </w:r>
      <w:r>
        <w:t xml:space="preserve">Tham ô</w:t>
      </w:r>
      <w:r>
        <w:t xml:space="preserve">”</w:t>
      </w:r>
      <w:r>
        <w:t xml:space="preserve"> </w:t>
      </w:r>
      <w:r>
        <w:t xml:space="preserve">(Graft) thay vì</w:t>
      </w:r>
      <w:r>
        <w:t xml:space="preserve"> </w:t>
      </w:r>
      <w:r>
        <w:t xml:space="preserve">“</w:t>
      </w:r>
      <w:r>
        <w:t xml:space="preserve">tham nhũng</w:t>
      </w:r>
      <w:r>
        <w:t xml:space="preserve">”</w:t>
      </w:r>
      <w:r>
        <w:t xml:space="preserve"> </w:t>
      </w:r>
      <w:r>
        <w:t xml:space="preserve">tổng quát khi cite số liệu cụ thể từ WBES. Khi nói chung về vấn đề thể chế hoặc chính sách quốc gia, vẫn có thể dùng</w:t>
      </w:r>
      <w:r>
        <w:t xml:space="preserve"> </w:t>
      </w:r>
      <w:r>
        <w:t xml:space="preserve">“</w:t>
      </w:r>
      <w:r>
        <w:t xml:space="preserve">tham nhũng</w:t>
      </w:r>
      <w:r>
        <w:t xml:space="preserve">”</w:t>
      </w:r>
      <w:r>
        <w:t xml:space="preserve"> </w:t>
      </w:r>
      <w:r>
        <w:t xml:space="preserve">như một tổng thể.</w:t>
      </w:r>
      <w:r>
        <w:t xml:space="preserve"> </w:t>
      </w:r>
      <w:r>
        <w:t xml:space="preserve">-</w:t>
      </w:r>
      <w:r>
        <w:t xml:space="preserve"> </w:t>
      </w:r>
      <w:r>
        <w:rPr>
          <w:bCs/>
          <w:b/>
        </w:rPr>
        <w:t xml:space="preserve">(2) CĐ2 specification</w:t>
      </w:r>
      <w:r>
        <w:t xml:space="preserve"> </w:t>
      </w:r>
      <w:r>
        <w:t xml:space="preserve">sẽ có</w:t>
      </w:r>
      <w:r>
        <w:t xml:space="preserve"> </w:t>
      </w:r>
      <w:r>
        <w:rPr>
          <w:bCs/>
          <w:b/>
        </w:rPr>
        <w:t xml:space="preserve">3 biến phân biệt</w:t>
      </w:r>
      <w:r>
        <w:t xml:space="preserve">:</w:t>
      </w:r>
      <w:r>
        <w:t xml:space="preserve"> </w:t>
      </w:r>
      <w:r>
        <w:rPr>
          <w:rStyle w:val="VerbatimChar"/>
        </w:rPr>
        <w:t xml:space="preserve">bribery_incidence_pct</w:t>
      </w:r>
      <w:r>
        <w:t xml:space="preserve"> </w:t>
      </w:r>
      <w:r>
        <w:t xml:space="preserve">(a-1),</w:t>
      </w:r>
      <w:r>
        <w:t xml:space="preserve"> </w:t>
      </w:r>
      <w:r>
        <w:rPr>
          <w:rStyle w:val="VerbatimChar"/>
        </w:rPr>
        <w:t xml:space="preserve">bribery_depth_pct</w:t>
      </w:r>
      <w:r>
        <w:t xml:space="preserve"> </w:t>
      </w:r>
      <w:r>
        <w:t xml:space="preserve">(a-2),</w:t>
      </w:r>
      <w:r>
        <w:t xml:space="preserve"> </w:t>
      </w:r>
      <w:r>
        <w:rPr>
          <w:rStyle w:val="VerbatimChar"/>
        </w:rPr>
        <w:t xml:space="preserve">graft_index_pct</w:t>
      </w:r>
      <w:r>
        <w:t xml:space="preserve"> </w:t>
      </w:r>
      <w:r>
        <w:t xml:space="preserve">(b-1) từ WBES question j7a-j7f → kiểm tra hệ số khác nhau xuyên 8 phân nhóm con thể chế. Giả thuyết H8 (mới): tác động tham nhũng lên hiệu quả doanh nghiệp khác biệt giữa</w:t>
      </w:r>
      <w:r>
        <w:t xml:space="preserve"> </w:t>
      </w:r>
      <w:r>
        <w:t xml:space="preserve">“</w:t>
      </w:r>
      <w:r>
        <w:t xml:space="preserve">extensive corruption</w:t>
      </w:r>
      <w:r>
        <w:t xml:space="preserve">”</w:t>
      </w:r>
      <w:r>
        <w:t xml:space="preserve"> </w:t>
      </w:r>
      <w:r>
        <w:t xml:space="preserve">(Bribery Incidence cao, Depth thấp, tham nhũng phổ biến nhưng mỗi giao dịch ít) và</w:t>
      </w:r>
      <w:r>
        <w:t xml:space="preserve"> </w:t>
      </w:r>
      <w:r>
        <w:t xml:space="preserve">“</w:t>
      </w:r>
      <w:r>
        <w:t xml:space="preserve">intensive corruption</w:t>
      </w:r>
      <w:r>
        <w:t xml:space="preserve">”</w:t>
      </w:r>
      <w:r>
        <w:t xml:space="preserve"> </w:t>
      </w:r>
      <w:r>
        <w:t xml:space="preserve">(Incidence thấp, Depth cao, chỉ một số ít DN nhưng giao dịch nào cũng tham nhũng).</w:t>
      </w:r>
      <w:r>
        <w:t xml:space="preserve"> </w:t>
      </w:r>
      <w:r>
        <w:t xml:space="preserve">-</w:t>
      </w:r>
      <w:r>
        <w:t xml:space="preserve"> </w:t>
      </w:r>
      <w:r>
        <w:rPr>
          <w:bCs/>
          <w:b/>
        </w:rPr>
        <w:t xml:space="preserve">(3) Liên kết với §2.3.1.5.5 rào cản #3</w:t>
      </w:r>
      <w:r>
        <w:t xml:space="preserve"> </w:t>
      </w:r>
      <w:r>
        <w:t xml:space="preserve">(cạnh tranh phi chính thức): DN phi chính thức tránh thuế nhưng cũng có thể</w:t>
      </w:r>
      <w:r>
        <w:t xml:space="preserve"> </w:t>
      </w:r>
      <w:r>
        <w:rPr>
          <w:bCs/>
          <w:b/>
        </w:rPr>
        <w:t xml:space="preserve">né tránh hối lộ (bypass bribery)</w:t>
      </w:r>
      <w:r>
        <w:t xml:space="preserve"> </w:t>
      </w:r>
      <w:r>
        <w:t xml:space="preserve">do hoạt động ngoài hệ thống chính thức, tạo ra</w:t>
      </w:r>
      <w:r>
        <w:t xml:space="preserve"> </w:t>
      </w:r>
      <w:r>
        <w:rPr>
          <w:bCs/>
          <w:b/>
        </w:rPr>
        <w:t xml:space="preserve">tình thế tiến thoái lưỡng nan chính sách (policy dilemma)</w:t>
      </w:r>
      <w:r>
        <w:t xml:space="preserve">:</w:t>
      </w:r>
      <w:r>
        <w:t xml:space="preserve"> </w:t>
      </w:r>
      <w:r>
        <w:rPr>
          <w:bCs/>
          <w:b/>
        </w:rPr>
        <w:t xml:space="preserve">chính thức hóa (formalization)</w:t>
      </w:r>
      <w:r>
        <w:t xml:space="preserve"> </w:t>
      </w:r>
      <w:r>
        <w:t xml:space="preserve">có thể tăng</w:t>
      </w:r>
      <w:r>
        <w:t xml:space="preserve"> </w:t>
      </w:r>
      <w:r>
        <w:rPr>
          <w:bCs/>
          <w:b/>
        </w:rPr>
        <w:t xml:space="preserve">mức độ tuân thủ (compliance)</w:t>
      </w:r>
      <w:r>
        <w:t xml:space="preserve"> </w:t>
      </w:r>
      <w:r>
        <w:t xml:space="preserve">nhưng cũng tăng</w:t>
      </w:r>
      <w:r>
        <w:t xml:space="preserve"> </w:t>
      </w:r>
      <w:r>
        <w:rPr>
          <w:bCs/>
          <w:b/>
        </w:rPr>
        <w:t xml:space="preserve">mức phơi nhiễm hối lộ (exposure to bribery)</w:t>
      </w:r>
      <w:r>
        <w:t xml:space="preserve">.</w:t>
      </w:r>
      <w:r>
        <w:t xml:space="preserve"> </w:t>
      </w:r>
      <w:r>
        <w:t xml:space="preserve">-</w:t>
      </w:r>
      <w:r>
        <w:t xml:space="preserve"> </w:t>
      </w:r>
      <w:r>
        <w:rPr>
          <w:bCs/>
          <w:b/>
        </w:rPr>
        <w:t xml:space="preserve">(4) Liên kết với khung phân tích cấp ngành §2.3.1.8</w:t>
      </w:r>
      <w:r>
        <w:t xml:space="preserve">: ngành Xây dựng (cường độ hợp đồng cao, high contract intensity) thường có Bribery Depth cao do từng giao dịch công lớn; ngành Khai khoáng/Du lịch (tỷ trọng công ty đa quốc gia, high MNE share) có Bribery Incidence cao nhưng Depth thấp do</w:t>
      </w:r>
      <w:r>
        <w:t xml:space="preserve"> </w:t>
      </w:r>
      <w:r>
        <w:rPr>
          <w:bCs/>
          <w:b/>
        </w:rPr>
        <w:t xml:space="preserve">áp lực tuân thủ MNE (MNE compliance pressure)</w:t>
      </w:r>
      <w:r>
        <w:t xml:space="preserve">.</w:t>
      </w:r>
    </w:p>
    <w:bookmarkEnd w:id="72"/>
    <w:bookmarkStart w:id="73" w:name="X116b9dc63d324a4899d8e0a49782bce0c578162"/>
    <w:p>
      <w:pPr>
        <w:pStyle w:val="Heading5"/>
      </w:pPr>
      <w:r>
        <w:t xml:space="preserve">2.3.1.8 Khung phân tích cấp ngành (industry-level) — kế hoạch CĐ2</w:t>
      </w:r>
    </w:p>
    <w:p>
      <w:pPr>
        <w:pStyle w:val="BlockText"/>
      </w:pPr>
      <w:r>
        <w:t xml:space="preserve">Khung dữ liệu (schema) WBES phân loại theo</w:t>
      </w:r>
      <w:r>
        <w:t xml:space="preserve"> </w:t>
      </w:r>
      <w:r>
        <w:rPr>
          <w:rStyle w:val="VerbatimChar"/>
        </w:rPr>
        <w:t xml:space="preserve">a3a</w:t>
      </w:r>
      <w:r>
        <w:t xml:space="preserve"> </w:t>
      </w:r>
      <w:r>
        <w:t xml:space="preserve">(mã ngành) và</w:t>
      </w:r>
      <w:r>
        <w:t xml:space="preserve"> </w:t>
      </w:r>
      <w:r>
        <w:rPr>
          <w:rStyle w:val="VerbatimChar"/>
        </w:rPr>
        <w:t xml:space="preserve">a4a</w:t>
      </w:r>
      <w:r>
        <w:t xml:space="preserve"> </w:t>
      </w:r>
      <w:r>
        <w:t xml:space="preserve">(mã ISIC 4 chữ số). Bảng 4.8.1 bổ sung cột</w:t>
      </w:r>
      <w:r>
        <w:t xml:space="preserve"> </w:t>
      </w:r>
      <w:r>
        <w:t xml:space="preserve">“</w:t>
      </w:r>
      <w:r>
        <w:t xml:space="preserve">Dynamism profile (Kafouros 2023)</w:t>
      </w:r>
      <w:r>
        <w:t xml:space="preserve">”</w:t>
      </w:r>
      <w:r>
        <w:t xml:space="preserve"> </w:t>
      </w:r>
      <w:r>
        <w:t xml:space="preserve">cùng đoạn lý giải về tương tác industry × institutional quality và hàm ý phương pháp luận (f) về số hạng tương tác.</w:t>
      </w:r>
    </w:p>
    <w:p>
      <w:pPr>
        <w:pStyle w:val="FirstParagraph"/>
      </w:pPr>
      <w:r>
        <w:rPr>
          <w:bCs/>
          <w:b/>
        </w:rPr>
        <w:t xml:space="preserve">Bảng 4.8.1</w:t>
      </w:r>
      <w:r>
        <w:t xml:space="preserve">.</w:t>
      </w:r>
      <w:r>
        <w:t xml:space="preserve"> </w:t>
      </w:r>
      <w:r>
        <w:rPr>
          <w:iCs/>
          <w:i/>
        </w:rPr>
        <w:t xml:space="preserve">Khung phân loại 9 ngành ISIC Rev. 4 cho nhóm dữ liệu WBES.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Ngành</w:t>
            </w:r>
          </w:p>
        </w:tc>
        <w:tc>
          <w:tcPr/>
          <w:p>
            <w:pPr>
              <w:pStyle w:val="Compact"/>
              <w:jc w:val="left"/>
            </w:pPr>
            <w:r>
              <w:t xml:space="preserve">Mã ISIC</w:t>
            </w:r>
          </w:p>
        </w:tc>
        <w:tc>
          <w:tcPr/>
          <w:p>
            <w:pPr>
              <w:pStyle w:val="Compact"/>
              <w:jc w:val="left"/>
            </w:pPr>
            <w:r>
              <w:t xml:space="preserve">Đặc điểm</w:t>
            </w:r>
          </w:p>
        </w:tc>
        <w:tc>
          <w:tcPr/>
          <w:p>
            <w:pPr>
              <w:pStyle w:val="Compact"/>
              <w:jc w:val="left"/>
            </w:pPr>
            <w:r>
              <w:t xml:space="preserve">Pattern dự kiến</w:t>
            </w:r>
          </w:p>
        </w:tc>
        <w:tc>
          <w:tcPr/>
          <w:p>
            <w:pPr>
              <w:pStyle w:val="Compact"/>
              <w:jc w:val="left"/>
            </w:pPr>
            <w:r>
              <w:rPr>
                <w:bCs/>
                <w:b/>
              </w:rPr>
              <w:t xml:space="preserve">Dynamism profile (Kafouros 2023)</w:t>
            </w:r>
          </w:p>
        </w:tc>
      </w:tr>
      <w:tr>
        <w:tc>
          <w:tcPr/>
          <w:p>
            <w:pPr>
              <w:pStyle w:val="Compact"/>
              <w:jc w:val="left"/>
            </w:pPr>
            <w:r>
              <w:t xml:space="preserve">Manufacturing — high-tech</w:t>
            </w:r>
          </w:p>
        </w:tc>
        <w:tc>
          <w:tcPr/>
          <w:p>
            <w:pPr>
              <w:pStyle w:val="Compact"/>
              <w:jc w:val="left"/>
            </w:pPr>
            <w:r>
              <w:t xml:space="preserve">C (20–21, 26–30)</w:t>
            </w:r>
            <w:r>
              <w:t xml:space="preserve"> </w:t>
            </w:r>
            <w:r>
              <w:rPr>
                <w:iCs/>
                <w:i/>
              </w:rPr>
              <w:t xml:space="preserve">(pharma, computers, electrical, motor vehicles)</w:t>
            </w:r>
          </w:p>
        </w:tc>
        <w:tc>
          <w:tcPr/>
          <w:p>
            <w:pPr>
              <w:pStyle w:val="Compact"/>
              <w:jc w:val="left"/>
            </w:pPr>
            <w:r>
              <w:t xml:space="preserve">Thâm dụng vốn, định hướng xuất khẩu</w:t>
            </w:r>
          </w:p>
        </w:tc>
        <w:tc>
          <w:tcPr/>
          <w:p>
            <w:pPr>
              <w:pStyle w:val="Compact"/>
              <w:jc w:val="left"/>
            </w:pPr>
            <w:r>
              <w:t xml:space="preserve">FSTS cao; R&amp;D cao; ISO cao</w:t>
            </w:r>
          </w:p>
        </w:tc>
        <w:tc>
          <w:tcPr/>
          <w:p>
            <w:pPr>
              <w:pStyle w:val="Compact"/>
              <w:jc w:val="left"/>
            </w:pPr>
            <w:r>
              <w:rPr>
                <w:bCs/>
                <w:b/>
              </w:rPr>
              <w:t xml:space="preserve">High technological dynamism</w:t>
            </w:r>
            <w:r>
              <w:t xml:space="preserve"> </w:t>
            </w:r>
            <w:r>
              <w:rPr>
                <w:iCs/>
                <w:i/>
              </w:rPr>
              <w:t xml:space="preserve">(Schumpeter Mark II — deepening pattern)</w:t>
            </w:r>
          </w:p>
        </w:tc>
      </w:tr>
      <w:tr>
        <w:tc>
          <w:tcPr/>
          <w:p>
            <w:pPr>
              <w:pStyle w:val="Compact"/>
              <w:jc w:val="left"/>
            </w:pPr>
            <w:r>
              <w:t xml:space="preserve">Manufacturing — low-tech</w:t>
            </w:r>
          </w:p>
        </w:tc>
        <w:tc>
          <w:tcPr/>
          <w:p>
            <w:pPr>
              <w:pStyle w:val="Compact"/>
              <w:jc w:val="left"/>
            </w:pPr>
            <w:r>
              <w:t xml:space="preserve">C (10–18, 22–25, 31–33)</w:t>
            </w:r>
            <w:r>
              <w:t xml:space="preserve"> </w:t>
            </w:r>
            <w:r>
              <w:rPr>
                <w:iCs/>
                <w:i/>
              </w:rPr>
              <w:t xml:space="preserve">(food, beverages, textiles, leather, furniture, basic metals)</w:t>
            </w:r>
          </w:p>
        </w:tc>
        <w:tc>
          <w:tcPr/>
          <w:p>
            <w:pPr>
              <w:pStyle w:val="Compact"/>
              <w:jc w:val="left"/>
            </w:pPr>
            <w:r>
              <w:t xml:space="preserve">Thâm dụng lao động</w:t>
            </w:r>
          </w:p>
        </w:tc>
        <w:tc>
          <w:tcPr/>
          <w:p>
            <w:pPr>
              <w:pStyle w:val="Compact"/>
              <w:jc w:val="left"/>
            </w:pPr>
            <w:r>
              <w:t xml:space="preserve">FSTS trung bình; R&amp;D thấp</w:t>
            </w:r>
          </w:p>
        </w:tc>
        <w:tc>
          <w:tcPr/>
          <w:p>
            <w:pPr>
              <w:pStyle w:val="Compact"/>
              <w:jc w:val="left"/>
            </w:pPr>
            <w:r>
              <w:rPr>
                <w:bCs/>
                <w:b/>
              </w:rPr>
              <w:t xml:space="preserve">Low technological dynamism</w:t>
            </w:r>
            <w:r>
              <w:t xml:space="preserve"> </w:t>
            </w:r>
            <w:r>
              <w:rPr>
                <w:iCs/>
                <w:i/>
              </w:rPr>
              <w:t xml:space="preserve">(widening pattern; longer technology life cycle)</w:t>
            </w:r>
          </w:p>
        </w:tc>
      </w:tr>
      <w:tr>
        <w:tc>
          <w:tcPr/>
          <w:p>
            <w:pPr>
              <w:pStyle w:val="Compact"/>
              <w:jc w:val="left"/>
            </w:pPr>
            <w:r>
              <w:t xml:space="preserve">Wholesale/retail</w:t>
            </w:r>
          </w:p>
        </w:tc>
        <w:tc>
          <w:tcPr/>
          <w:p>
            <w:pPr>
              <w:pStyle w:val="Compact"/>
              <w:jc w:val="left"/>
            </w:pPr>
            <w:r>
              <w:t xml:space="preserve">G (45–47)</w:t>
            </w:r>
          </w:p>
        </w:tc>
        <w:tc>
          <w:tcPr/>
          <w:p>
            <w:pPr>
              <w:pStyle w:val="Compact"/>
              <w:jc w:val="left"/>
            </w:pPr>
            <w:r>
              <w:t xml:space="preserve">Thâm dụng lao động, định hướng trong nước</w:t>
            </w:r>
          </w:p>
        </w:tc>
        <w:tc>
          <w:tcPr/>
          <w:p>
            <w:pPr>
              <w:pStyle w:val="Compact"/>
              <w:jc w:val="left"/>
            </w:pPr>
            <w:r>
              <w:t xml:space="preserve">FSTS thấp; website cao; FDI thấp</w:t>
            </w:r>
          </w:p>
        </w:tc>
        <w:tc>
          <w:tcPr/>
          <w:p>
            <w:pPr>
              <w:pStyle w:val="Compact"/>
              <w:jc w:val="left"/>
            </w:pPr>
            <w:r>
              <w:rPr>
                <w:bCs/>
                <w:b/>
              </w:rPr>
              <w:t xml:space="preserve">High market dynamism</w:t>
            </w:r>
            <w:r>
              <w:t xml:space="preserve"> </w:t>
            </w:r>
            <w:r>
              <w:rPr>
                <w:iCs/>
                <w:i/>
              </w:rPr>
              <w:t xml:space="preserve">(volatile consumer demand, short product cycles)</w:t>
            </w:r>
          </w:p>
        </w:tc>
      </w:tr>
      <w:tr>
        <w:tc>
          <w:tcPr/>
          <w:p>
            <w:pPr>
              <w:pStyle w:val="Compact"/>
              <w:jc w:val="left"/>
            </w:pPr>
            <w:r>
              <w:t xml:space="preserve">Tourism/hotels</w:t>
            </w:r>
          </w:p>
        </w:tc>
        <w:tc>
          <w:tcPr/>
          <w:p>
            <w:pPr>
              <w:pStyle w:val="Compact"/>
              <w:jc w:val="left"/>
            </w:pPr>
            <w:r>
              <w:t xml:space="preserve">I (55–56)</w:t>
            </w:r>
          </w:p>
        </w:tc>
        <w:tc>
          <w:tcPr/>
          <w:p>
            <w:pPr>
              <w:pStyle w:val="Compact"/>
              <w:jc w:val="left"/>
            </w:pPr>
            <w:r>
              <w:t xml:space="preserve">Dịch vụ phụ thuộc du lịch</w:t>
            </w:r>
          </w:p>
        </w:tc>
        <w:tc>
          <w:tcPr/>
          <w:p>
            <w:pPr>
              <w:pStyle w:val="Compact"/>
              <w:jc w:val="left"/>
            </w:pPr>
            <w:r>
              <w:t xml:space="preserve">FDI cao ở SIDS</w:t>
            </w:r>
          </w:p>
        </w:tc>
        <w:tc>
          <w:tcPr/>
          <w:p>
            <w:pPr>
              <w:pStyle w:val="Compact"/>
              <w:jc w:val="left"/>
            </w:pPr>
            <w:r>
              <w:rPr>
                <w:bCs/>
                <w:b/>
              </w:rPr>
              <w:t xml:space="preserve">High market dynamism</w:t>
            </w:r>
            <w:r>
              <w:t xml:space="preserve"> </w:t>
            </w:r>
            <w:r>
              <w:rPr>
                <w:iCs/>
                <w:i/>
              </w:rPr>
              <w:t xml:space="preserve">(volatile demand — pandemic, geopolitical, seasonal)</w:t>
            </w:r>
          </w:p>
        </w:tc>
      </w:tr>
      <w:tr>
        <w:tc>
          <w:tcPr/>
          <w:p>
            <w:pPr>
              <w:pStyle w:val="Compact"/>
              <w:jc w:val="left"/>
            </w:pPr>
            <w:r>
              <w:t xml:space="preserve">Transport</w:t>
            </w:r>
          </w:p>
        </w:tc>
        <w:tc>
          <w:tcPr/>
          <w:p>
            <w:pPr>
              <w:pStyle w:val="Compact"/>
              <w:jc w:val="left"/>
            </w:pPr>
            <w:r>
              <w:t xml:space="preserve">H (49–53)</w:t>
            </w:r>
          </w:p>
        </w:tc>
        <w:tc>
          <w:tcPr/>
          <w:p>
            <w:pPr>
              <w:pStyle w:val="Compact"/>
              <w:jc w:val="left"/>
            </w:pPr>
            <w:r>
              <w:t xml:space="preserve">Kinh tế mạng lưới</w:t>
            </w:r>
          </w:p>
        </w:tc>
        <w:tc>
          <w:tcPr/>
          <w:p>
            <w:pPr>
              <w:pStyle w:val="Compact"/>
              <w:jc w:val="left"/>
            </w:pPr>
            <w:r>
              <w:t xml:space="preserve">FDI cao; ISO cao</w:t>
            </w:r>
          </w:p>
        </w:tc>
        <w:tc>
          <w:tcPr/>
          <w:p>
            <w:pPr>
              <w:pStyle w:val="Compact"/>
              <w:jc w:val="left"/>
            </w:pPr>
            <w:r>
              <w:t xml:space="preserve">Trung gian (low-medium dynamism)</w:t>
            </w:r>
          </w:p>
        </w:tc>
      </w:tr>
      <w:tr>
        <w:tc>
          <w:tcPr/>
          <w:p>
            <w:pPr>
              <w:pStyle w:val="Compact"/>
              <w:jc w:val="left"/>
            </w:pPr>
            <w:r>
              <w:t xml:space="preserve">ICT</w:t>
            </w:r>
          </w:p>
        </w:tc>
        <w:tc>
          <w:tcPr/>
          <w:p>
            <w:pPr>
              <w:pStyle w:val="Compact"/>
              <w:jc w:val="left"/>
            </w:pPr>
            <w:r>
              <w:t xml:space="preserve">J (58–63)</w:t>
            </w:r>
          </w:p>
        </w:tc>
        <w:tc>
          <w:tcPr/>
          <w:p>
            <w:pPr>
              <w:pStyle w:val="Compact"/>
              <w:jc w:val="left"/>
            </w:pPr>
            <w:r>
              <w:t xml:space="preserve">Thâm dụng tri thức</w:t>
            </w:r>
          </w:p>
        </w:tc>
        <w:tc>
          <w:tcPr/>
          <w:p>
            <w:pPr>
              <w:pStyle w:val="Compact"/>
              <w:jc w:val="left"/>
            </w:pPr>
            <w:r>
              <w:t xml:space="preserve">R&amp;D cao; website ~100%</w:t>
            </w:r>
          </w:p>
        </w:tc>
        <w:tc>
          <w:tcPr/>
          <w:p>
            <w:pPr>
              <w:pStyle w:val="Compact"/>
              <w:jc w:val="left"/>
            </w:pPr>
            <w:r>
              <w:rPr>
                <w:bCs/>
                <w:b/>
              </w:rPr>
              <w:t xml:space="preserve">High technological dynamism</w:t>
            </w:r>
            <w:r>
              <w:t xml:space="preserve"> </w:t>
            </w:r>
            <w:r>
              <w:rPr>
                <w:iCs/>
                <w:i/>
              </w:rPr>
              <w:t xml:space="preserve">(rapid tech evolution, IPR-sensitive)</w:t>
            </w:r>
          </w:p>
        </w:tc>
      </w:tr>
      <w:tr>
        <w:tc>
          <w:tcPr/>
          <w:p>
            <w:pPr>
              <w:pStyle w:val="Compact"/>
              <w:jc w:val="left"/>
            </w:pPr>
            <w:r>
              <w:t xml:space="preserve">Construction</w:t>
            </w:r>
          </w:p>
        </w:tc>
        <w:tc>
          <w:tcPr/>
          <w:p>
            <w:pPr>
              <w:pStyle w:val="Compact"/>
              <w:jc w:val="left"/>
            </w:pPr>
            <w:r>
              <w:t xml:space="preserve">F (41–43)</w:t>
            </w:r>
          </w:p>
        </w:tc>
        <w:tc>
          <w:tcPr/>
          <w:p>
            <w:pPr>
              <w:pStyle w:val="Compact"/>
              <w:jc w:val="left"/>
            </w:pPr>
            <w:r>
              <w:t xml:space="preserve">Theo dự án, định hướng trong nước</w:t>
            </w:r>
          </w:p>
        </w:tc>
        <w:tc>
          <w:tcPr/>
          <w:p>
            <w:pPr>
              <w:pStyle w:val="Compact"/>
              <w:jc w:val="left"/>
            </w:pPr>
            <w:r>
              <w:t xml:space="preserve">FSTS thấp; FDI ở GCC</w:t>
            </w:r>
          </w:p>
        </w:tc>
        <w:tc>
          <w:tcPr/>
          <w:p>
            <w:pPr>
              <w:pStyle w:val="Compact"/>
              <w:jc w:val="left"/>
            </w:pPr>
            <w:r>
              <w:rPr>
                <w:bCs/>
                <w:b/>
              </w:rPr>
              <w:t xml:space="preserve">Low technological dynamism + low market dynamism</w:t>
            </w:r>
            <w:r>
              <w:t xml:space="preserve"> </w:t>
            </w:r>
            <w:r>
              <w:rPr>
                <w:iCs/>
                <w:i/>
              </w:rPr>
              <w:t xml:space="preserve">(stable demand, traditional methods)</w:t>
            </w:r>
          </w:p>
        </w:tc>
      </w:tr>
      <w:tr>
        <w:tc>
          <w:tcPr/>
          <w:p>
            <w:pPr>
              <w:pStyle w:val="Compact"/>
              <w:jc w:val="left"/>
            </w:pPr>
            <w:r>
              <w:t xml:space="preserve">Mining</w:t>
            </w:r>
          </w:p>
        </w:tc>
        <w:tc>
          <w:tcPr/>
          <w:p>
            <w:pPr>
              <w:pStyle w:val="Compact"/>
              <w:jc w:val="left"/>
            </w:pPr>
            <w:r>
              <w:t xml:space="preserve">B (05–09)</w:t>
            </w:r>
          </w:p>
        </w:tc>
        <w:tc>
          <w:tcPr/>
          <w:p>
            <w:pPr>
              <w:pStyle w:val="Compact"/>
              <w:jc w:val="left"/>
            </w:pPr>
            <w:r>
              <w:t xml:space="preserve">Tài nguyên dẫn dắt</w:t>
            </w:r>
          </w:p>
        </w:tc>
        <w:tc>
          <w:tcPr/>
          <w:p>
            <w:pPr>
              <w:pStyle w:val="Compact"/>
              <w:jc w:val="left"/>
            </w:pPr>
            <w:r>
              <w:t xml:space="preserve">FDI cao; ISO ở MNE-led</w:t>
            </w:r>
          </w:p>
        </w:tc>
        <w:tc>
          <w:tcPr/>
          <w:p>
            <w:pPr>
              <w:pStyle w:val="Compact"/>
              <w:jc w:val="left"/>
            </w:pPr>
            <w:r>
              <w:rPr>
                <w:bCs/>
                <w:b/>
              </w:rPr>
              <w:t xml:space="preserve">Low technological dynamism</w:t>
            </w:r>
            <w:r>
              <w:t xml:space="preserve"> </w:t>
            </w:r>
            <w:r>
              <w:rPr>
                <w:iCs/>
                <w:i/>
              </w:rPr>
              <w:t xml:space="preserve">(commodity-driven, institutional rents)</w:t>
            </w:r>
          </w:p>
        </w:tc>
      </w:tr>
      <w:tr>
        <w:tc>
          <w:tcPr/>
          <w:p>
            <w:pPr>
              <w:pStyle w:val="Compact"/>
              <w:jc w:val="left"/>
            </w:pPr>
            <w:r>
              <w:t xml:space="preserve">Finance</w:t>
            </w:r>
          </w:p>
        </w:tc>
        <w:tc>
          <w:tcPr/>
          <w:p>
            <w:pPr>
              <w:pStyle w:val="Compact"/>
              <w:jc w:val="left"/>
            </w:pPr>
            <w:r>
              <w:t xml:space="preserve">K (64–66)</w:t>
            </w:r>
          </w:p>
        </w:tc>
        <w:tc>
          <w:tcPr/>
          <w:p>
            <w:pPr>
              <w:pStyle w:val="Compact"/>
              <w:jc w:val="left"/>
            </w:pPr>
            <w:r>
              <w:t xml:space="preserve">Có quy chế, xuyên biên giới</w:t>
            </w:r>
          </w:p>
        </w:tc>
        <w:tc>
          <w:tcPr/>
          <w:p>
            <w:pPr>
              <w:pStyle w:val="Compact"/>
              <w:jc w:val="left"/>
            </w:pPr>
            <w:r>
              <w:t xml:space="preserve">FDI cao; website ~100%</w:t>
            </w:r>
          </w:p>
        </w:tc>
        <w:tc>
          <w:tcPr/>
          <w:p>
            <w:pPr>
              <w:pStyle w:val="Compact"/>
              <w:jc w:val="left"/>
            </w:pPr>
            <w:r>
              <w:rPr>
                <w:bCs/>
                <w:b/>
              </w:rPr>
              <w:t xml:space="preserve">High market dynamism</w:t>
            </w:r>
            <w:r>
              <w:t xml:space="preserve"> </w:t>
            </w:r>
            <w:r>
              <w:rPr>
                <w:iCs/>
                <w:i/>
              </w:rPr>
              <w:t xml:space="preserve">(demand shocks, AI disruption Wang/Huang/Hong 2024)</w:t>
            </w:r>
          </w:p>
        </w:tc>
      </w:tr>
      <w:tr>
        <w:tc>
          <w:tcPr/>
          <w:p>
            <w:pPr>
              <w:pStyle w:val="Compact"/>
              <w:jc w:val="left"/>
            </w:pPr>
            <w:r>
              <w:t xml:space="preserve">Khác</w:t>
            </w:r>
          </w:p>
        </w:tc>
        <w:tc>
          <w:tcPr/>
          <w:p>
            <w:pPr>
              <w:pStyle w:val="Compact"/>
              <w:jc w:val="left"/>
            </w:pPr>
            <w:r>
              <w:t xml:space="preserve">A, D, L</w:t>
            </w:r>
          </w:p>
        </w:tc>
        <w:tc>
          <w:tcPr/>
          <w:p>
            <w:pPr>
              <w:pStyle w:val="Compact"/>
              <w:jc w:val="left"/>
            </w:pPr>
            <w:r>
              <w:t xml:space="preserve">Đa dạng</w:t>
            </w:r>
          </w:p>
        </w:tc>
        <w:tc>
          <w:tcPr/>
          <w:p>
            <w:pPr>
              <w:pStyle w:val="Compact"/>
              <w:jc w:val="left"/>
            </w:pPr>
            <w:r>
              <w:t xml:space="preserve">Hỗn hợp</w:t>
            </w:r>
          </w:p>
        </w:tc>
        <w:tc>
          <w:tcPr/>
          <w:p>
            <w:pPr>
              <w:pStyle w:val="Compact"/>
              <w:jc w:val="left"/>
            </w:pPr>
            <w:r>
              <w:t xml:space="preserve">Hỗn hợp</w:t>
            </w:r>
          </w:p>
        </w:tc>
      </w:tr>
    </w:tbl>
    <w:p>
      <w:pPr>
        <w:pStyle w:val="BodyText"/>
      </w:pPr>
      <w:r>
        <w:rPr>
          <w:bCs/>
          <w:b/>
        </w:rPr>
        <w:t xml:space="preserve">5 giả thuyết cấp ngành cho CĐ2</w:t>
      </w:r>
      <w:r>
        <w:t xml:space="preserve">: I1 Manufacturing FSTS dominance; I2 ICT digital-native; I3 Tourism drive FDI ở SIDS; I4 Mining drive resource cluster; I5 Construction dominate Vùng Vịnh.</w:t>
      </w:r>
    </w:p>
    <w:p>
      <w:pPr>
        <w:pStyle w:val="BodyText"/>
      </w:pPr>
      <w:r>
        <w:rPr>
          <w:bCs/>
          <w:b/>
        </w:rPr>
        <w:t xml:space="preserve">Lý giải lý thuyết, Kafouros et al. (2023) industry × institutional quality interaction</w:t>
      </w:r>
      <w:r>
        <w:t xml:space="preserve">:</w:t>
      </w:r>
    </w:p>
    <w:p>
      <w:pPr>
        <w:pStyle w:val="BodyText"/>
      </w:pPr>
      <w:r>
        <w:t xml:space="preserve">Khung 9 ngành trên không chỉ phân loại theo logic kinh tế mà còn theo logic lý thuyết của</w:t>
      </w:r>
      <w:r>
        <w:t xml:space="preserve"> </w:t>
      </w:r>
      <w:r>
        <w:rPr>
          <w:bCs/>
          <w:b/>
        </w:rPr>
        <w:t xml:space="preserve">Kafouros et al. (2023,</w:t>
      </w:r>
      <w:r>
        <w:rPr>
          <w:bCs/>
          <w:b/>
        </w:rPr>
        <w:t xml:space="preserve"> </w:t>
      </w:r>
      <w:r>
        <w:rPr>
          <w:iCs/>
          <w:i/>
          <w:bCs/>
          <w:b/>
        </w:rPr>
        <w:t xml:space="preserve">Global Strategy Journal</w:t>
      </w:r>
      <w:r>
        <w:rPr>
          <w:bCs/>
          <w:b/>
        </w:rPr>
        <w:t xml:space="preserve">, Vol 14, 56–83)</w:t>
      </w:r>
      <w:r>
        <w:t xml:space="preserve">. Kafouros và cộng sự (n=12.888 firms · 16 CEE economies · 2004-2011 · 72.082 obs) chứng minh chất lượng thể chế (đo bằng Rule of Law từ World Governance Indicators) tương tác hai chiều với động học ngành:</w:t>
      </w:r>
      <w:r>
        <w:t xml:space="preserve"> </w:t>
      </w:r>
      <w:r>
        <w:rPr>
          <w:bCs/>
          <w:b/>
        </w:rPr>
        <w:t xml:space="preserve">(H1)</w:t>
      </w:r>
      <w:r>
        <w:t xml:space="preserve"> </w:t>
      </w:r>
      <w:r>
        <w:t xml:space="preserve">ở các ngành có</w:t>
      </w:r>
      <w:r>
        <w:t xml:space="preserve"> </w:t>
      </w:r>
      <w:r>
        <w:rPr>
          <w:bCs/>
          <w:b/>
        </w:rPr>
        <w:t xml:space="preserve">technological dynamism</w:t>
      </w:r>
      <w:r>
        <w:t xml:space="preserve"> </w:t>
      </w:r>
      <w:r>
        <w:t xml:space="preserve">cao (Schumpeter Mark II: pharma, computers, electrical, ICT, motor vehicles), chất lượng thể chế</w:t>
      </w:r>
      <w:r>
        <w:t xml:space="preserve"> </w:t>
      </w:r>
      <w:r>
        <w:rPr>
          <w:bCs/>
          <w:b/>
        </w:rPr>
        <w:t xml:space="preserve">khuếch đại tích cực</w:t>
      </w:r>
      <w:r>
        <w:t xml:space="preserve"> </w:t>
      </w:r>
      <w:r>
        <w:t xml:space="preserve">hiệu quả doanh nghiệp do ba cơ chế (partnership identification, IPR enforcement, interfirm market exchange);</w:t>
      </w:r>
      <w:r>
        <w:t xml:space="preserve"> </w:t>
      </w:r>
      <w:r>
        <w:rPr>
          <w:bCs/>
          <w:b/>
        </w:rPr>
        <w:t xml:space="preserve">(H2)</w:t>
      </w:r>
      <w:r>
        <w:t xml:space="preserve"> </w:t>
      </w:r>
      <w:r>
        <w:t xml:space="preserve">ngược lại, ở các ngành có</w:t>
      </w:r>
      <w:r>
        <w:t xml:space="preserve"> </w:t>
      </w:r>
      <w:r>
        <w:rPr>
          <w:bCs/>
          <w:b/>
        </w:rPr>
        <w:t xml:space="preserve">market dynamism</w:t>
      </w:r>
      <w:r>
        <w:t xml:space="preserve"> </w:t>
      </w:r>
      <w:r>
        <w:t xml:space="preserve">cao (volatility cầu: tourism, retail, finance), chất lượng thể chế</w:t>
      </w:r>
      <w:r>
        <w:t xml:space="preserve"> </w:t>
      </w:r>
      <w:r>
        <w:rPr>
          <w:bCs/>
          <w:b/>
        </w:rPr>
        <w:t xml:space="preserve">suy yếu</w:t>
      </w:r>
      <w:r>
        <w:t xml:space="preserve"> </w:t>
      </w:r>
      <w:r>
        <w:t xml:space="preserve">vì doanh nghiệp phải nội bộ hóa (internalize) các chức năng để giảm phụ thuộc thị trường ngoài.</w:t>
      </w:r>
      <w:r>
        <w:t xml:space="preserve"> </w:t>
      </w:r>
      <w:r>
        <w:rPr>
          <w:bCs/>
          <w:b/>
        </w:rPr>
        <w:t xml:space="preserve">Hàm ý cho CĐ1 và CĐ2</w:t>
      </w:r>
      <w:r>
        <w:t xml:space="preserve">: (a) hệ số âm DAI ở Advanced phân nhóm innovation-driven (-0,129 trong Spec 1, xem §2.3.1.4 và lập luận Tier-1 saturation) có thể bị nhiễu bởi ICT firms saturated; (b) Bảng 4.6 cho thấy Δ R&amp;D Emerging giảm -42,1 đpt, nếu phân tách high-tech vs low-tech Manufacturing, có thể thấy pattern khác biệt; (c)</w:t>
      </w:r>
      <w:r>
        <w:t xml:space="preserve"> </w:t>
      </w:r>
      <w:r>
        <w:rPr>
          <w:bCs/>
          <w:b/>
        </w:rPr>
        <w:t xml:space="preserve">CĐ2 cần thêm giả thuyết H7</w:t>
      </w:r>
      <w:r>
        <w:t xml:space="preserve">: tương tác</w:t>
      </w:r>
      <w:r>
        <w:t xml:space="preserve"> </w:t>
      </w:r>
      <w:r>
        <w:rPr>
          <w:rStyle w:val="VerbatimChar"/>
        </w:rPr>
        <w:t xml:space="preserve">tech_dynamism × institutional_quality</w:t>
      </w:r>
      <w:r>
        <w:t xml:space="preserve"> </w:t>
      </w:r>
      <w:r>
        <w:t xml:space="preserve">có hệ số dương; tương tác</w:t>
      </w:r>
      <w:r>
        <w:t xml:space="preserve"> </w:t>
      </w:r>
      <w:r>
        <w:rPr>
          <w:rStyle w:val="VerbatimChar"/>
        </w:rPr>
        <w:t xml:space="preserve">market_dynamism × institutional_quality</w:t>
      </w:r>
      <w:r>
        <w:t xml:space="preserve"> </w:t>
      </w:r>
      <w:r>
        <w:t xml:space="preserve">có hệ số âm. Đây là test trực tiếp cho replication của Kafouros (2023) trong bối cảnh châu Á, đóng góp lý thuyết quan trọng vì Kafouros chỉ test trong bối cảnh CEE.</w:t>
      </w:r>
    </w:p>
    <w:p>
      <w:pPr>
        <w:pStyle w:val="BodyText"/>
      </w:pPr>
      <w:r>
        <w:rPr>
          <w:bCs/>
          <w:b/>
        </w:rPr>
        <w:t xml:space="preserve">6 hàm ý phương pháp luận</w:t>
      </w:r>
      <w:r>
        <w:t xml:space="preserve"> </w:t>
      </w:r>
      <w:r>
        <w:rPr>
          <w:iCs/>
          <w:i/>
        </w:rPr>
        <w:t xml:space="preserve">)</w:t>
      </w:r>
      <w:r>
        <w:t xml:space="preserve">:</w:t>
      </w:r>
    </w:p>
    <w:p>
      <w:pPr>
        <w:numPr>
          <w:ilvl w:val="0"/>
          <w:numId w:val="1013"/>
        </w:numPr>
        <w:pStyle w:val="Compact"/>
      </w:pPr>
      <w:r>
        <w:t xml:space="preserve">Industry FE 9 ngành theo Bảng 4.8.1.</w:t>
      </w:r>
    </w:p>
    <w:p>
      <w:pPr>
        <w:numPr>
          <w:ilvl w:val="0"/>
          <w:numId w:val="1013"/>
        </w:numPr>
        <w:pStyle w:val="Compact"/>
      </w:pPr>
      <w:r>
        <w:t xml:space="preserve">Manufacturing-only subsample, tách cho high-tech vs low-tech theo Kafouros (2023) classification.</w:t>
      </w:r>
    </w:p>
    <w:p>
      <w:pPr>
        <w:numPr>
          <w:ilvl w:val="0"/>
          <w:numId w:val="1013"/>
        </w:numPr>
        <w:pStyle w:val="Compact"/>
      </w:pPr>
      <w:r>
        <w:t xml:space="preserve">Tourism separation cho SIDS Pacific (boundary case extension §1.3).</w:t>
      </w:r>
    </w:p>
    <w:p>
      <w:pPr>
        <w:numPr>
          <w:ilvl w:val="0"/>
          <w:numId w:val="1013"/>
        </w:numPr>
        <w:pStyle w:val="Compact"/>
      </w:pPr>
      <w:r>
        <w:t xml:space="preserve">Construction subsample test Vùng Vịnh resource-driven Advanced.</w:t>
      </w:r>
    </w:p>
    <w:p>
      <w:pPr>
        <w:numPr>
          <w:ilvl w:val="0"/>
          <w:numId w:val="1013"/>
        </w:numPr>
        <w:pStyle w:val="Compact"/>
      </w:pPr>
      <w:r>
        <w:t xml:space="preserve">ICT exclusion test cho DAI, đặc biệt liên quan việc tái định danh Tier-1 Digital Presence (§2.3.1.4.5).</w:t>
      </w:r>
      <w:r>
        <w:t xml:space="preserve"> </w:t>
      </w:r>
      <w:r>
        <w:rPr>
          <w:bCs/>
          <w:b/>
        </w:rPr>
        <w:t xml:space="preserve">(f) Test interaction term</w:t>
      </w:r>
      <w:r>
        <w:rPr>
          <w:bCs/>
          <w:b/>
        </w:rPr>
        <w:t xml:space="preserve"> </w:t>
      </w:r>
      <w:r>
        <w:rPr>
          <w:rStyle w:val="VerbatimChar"/>
          <w:bCs/>
          <w:b/>
        </w:rPr>
        <w:t xml:space="preserve">tech_dynamism × institutional_quality</w:t>
      </w:r>
      <w:r>
        <w:rPr>
          <w:bCs/>
          <w:b/>
        </w:rPr>
        <w:t xml:space="preserve"> </w:t>
      </w:r>
      <w:r>
        <w:rPr>
          <w:bCs/>
          <w:b/>
        </w:rPr>
        <w:t xml:space="preserve">và</w:t>
      </w:r>
      <w:r>
        <w:rPr>
          <w:bCs/>
          <w:b/>
        </w:rPr>
        <w:t xml:space="preserve"> </w:t>
      </w:r>
      <w:r>
        <w:rPr>
          <w:rStyle w:val="VerbatimChar"/>
          <w:bCs/>
          <w:b/>
        </w:rPr>
        <w:t xml:space="preserve">market_dynamism × institutional_quality</w:t>
      </w:r>
      <w:r>
        <w:t xml:space="preserve">, robustness check thứ 7 cho CĐ2 H7 mới (sau Manufacturing-only, ICT-excluded, Tourism-separated SIDS, Construction-tested Gulf, Mining-excluded resource, Anchor model BREADY 2025). Đây là test trực tiếp cho</w:t>
      </w:r>
      <w:r>
        <w:t xml:space="preserve"> </w:t>
      </w:r>
      <w:r>
        <w:rPr>
          <w:bCs/>
          <w:b/>
        </w:rPr>
        <w:t xml:space="preserve">replication Kafouros et al. (2023) trong bối cảnh châu Á</w:t>
      </w:r>
      <w:r>
        <w:t xml:space="preserve">. Bảng Industry × Institutional Quality interaction cần thiết để confirm/disconfirm H1-H2 của Kafouros với 41 nước châu Á (vs 16 nước CEE của Kafouros). Nếu interaction tech_dynamism × institutional_quality dương và significant ở mức p&lt;.05, đây là evidence châu Á-specific cho industry-bounded institutional advantage, đóng góp lý thuyết của luận án.</w:t>
      </w:r>
    </w:p>
    <w:bookmarkEnd w:id="73"/>
    <w:bookmarkStart w:id="74" w:name="X6137fe898ea43b8b79c4fbf5a7a9f2b335b5fcf"/>
    <w:p>
      <w:pPr>
        <w:pStyle w:val="Heading5"/>
      </w:pPr>
      <w:r>
        <w:t xml:space="preserve">2.3.1.9 Phân nhóm con Emerging — phát hiện dị biệt nội bộ</w:t>
      </w:r>
    </w:p>
    <w:p>
      <w:pPr>
        <w:pStyle w:val="BlockText"/>
      </w:pPr>
      <w:r>
        <w:t xml:space="preserve">Phát hiện phương pháp luận thứ hai cho CĐ2.</w:t>
      </w:r>
    </w:p>
    <w:p>
      <w:pPr>
        <w:pStyle w:val="FirstParagraph"/>
      </w:pPr>
      <w:r>
        <w:rPr>
          <w:bCs/>
          <w:b/>
        </w:rPr>
        <w:t xml:space="preserve">Bảng 4.9</w:t>
      </w:r>
      <w:r>
        <w:t xml:space="preserve">.</w:t>
      </w:r>
      <w:r>
        <w:t xml:space="preserve"> </w:t>
      </w:r>
      <w:r>
        <w:rPr>
          <w:iCs/>
          <w:i/>
        </w:rPr>
        <w:t xml:space="preserve">Phân nhóm con Emerging, số liệu tổng hợp 2009–2025 (n=47.803).</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Phân nhóm con</w:t>
            </w:r>
          </w:p>
        </w:tc>
        <w:tc>
          <w:tcPr/>
          <w:p>
            <w:pPr>
              <w:pStyle w:val="Compact"/>
              <w:jc w:val="left"/>
            </w:pPr>
            <w:r>
              <w:t xml:space="preserve">Quốc gia</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DN xuất khẩu (%)</w:t>
            </w:r>
          </w:p>
        </w:tc>
        <w:tc>
          <w:tcPr/>
          <w:p>
            <w:pPr>
              <w:pStyle w:val="Compact"/>
              <w:jc w:val="left"/>
            </w:pPr>
            <w:r>
              <w:t xml:space="preserve">FDI ≥10% (%)</w:t>
            </w:r>
          </w:p>
        </w:tc>
        <w:tc>
          <w:tcPr/>
          <w:p>
            <w:pPr>
              <w:pStyle w:val="Compact"/>
              <w:jc w:val="left"/>
            </w:pPr>
            <w:r>
              <w:t xml:space="preserve">Website (%)</w:t>
            </w:r>
          </w:p>
        </w:tc>
        <w:tc>
          <w:tcPr/>
          <w:p>
            <w:pPr>
              <w:pStyle w:val="Compact"/>
              <w:jc w:val="left"/>
            </w:pPr>
            <w:r>
              <w:t xml:space="preserve">R&amp;D (%)</w:t>
            </w:r>
          </w:p>
        </w:tc>
        <w:tc>
          <w:tcPr/>
          <w:p>
            <w:pPr>
              <w:pStyle w:val="Compact"/>
              <w:jc w:val="left"/>
            </w:pPr>
            <w:r>
              <w:t xml:space="preserve">ISO (%)</w:t>
            </w:r>
          </w:p>
        </w:tc>
        <w:tc>
          <w:tcPr/>
          <w:p>
            <w:pPr>
              <w:pStyle w:val="Compact"/>
              <w:jc w:val="left"/>
            </w:pPr>
            <w:r>
              <w:t xml:space="preserve">sd log</w:t>
            </w:r>
          </w:p>
        </w:tc>
      </w:tr>
      <w:tr>
        <w:tc>
          <w:tcPr/>
          <w:p>
            <w:pPr>
              <w:pStyle w:val="Compact"/>
              <w:jc w:val="left"/>
            </w:pPr>
            <w:r>
              <w:t xml:space="preserve">Emerging — FDI dẫn dắt SEA</w:t>
            </w:r>
          </w:p>
        </w:tc>
        <w:tc>
          <w:tcPr/>
          <w:p>
            <w:pPr>
              <w:pStyle w:val="Compact"/>
              <w:jc w:val="left"/>
            </w:pPr>
            <w:r>
              <w:t xml:space="preserve">VNM, IDN, PHL</w:t>
            </w:r>
          </w:p>
        </w:tc>
        <w:tc>
          <w:tcPr/>
          <w:p>
            <w:pPr>
              <w:pStyle w:val="Compact"/>
              <w:jc w:val="left"/>
            </w:pPr>
            <w:r>
              <w:t xml:space="preserve">13.779</w:t>
            </w:r>
          </w:p>
        </w:tc>
        <w:tc>
          <w:tcPr/>
          <w:p>
            <w:pPr>
              <w:pStyle w:val="Compact"/>
              <w:jc w:val="left"/>
            </w:pPr>
            <w:r>
              <w:rPr>
                <w:bCs/>
                <w:b/>
              </w:rPr>
              <w:t xml:space="preserve">13,2</w:t>
            </w:r>
          </w:p>
        </w:tc>
        <w:tc>
          <w:tcPr/>
          <w:p>
            <w:pPr>
              <w:pStyle w:val="Compact"/>
              <w:jc w:val="left"/>
            </w:pPr>
            <w:r>
              <w:t xml:space="preserve">22,1</w:t>
            </w:r>
          </w:p>
        </w:tc>
        <w:tc>
          <w:tcPr/>
          <w:p>
            <w:pPr>
              <w:pStyle w:val="Compact"/>
              <w:jc w:val="left"/>
            </w:pPr>
            <w:r>
              <w:t xml:space="preserve">11,4</w:t>
            </w:r>
          </w:p>
        </w:tc>
        <w:tc>
          <w:tcPr/>
          <w:p>
            <w:pPr>
              <w:pStyle w:val="Compact"/>
              <w:jc w:val="left"/>
            </w:pPr>
            <w:r>
              <w:t xml:space="preserve">47,3</w:t>
            </w:r>
          </w:p>
        </w:tc>
        <w:tc>
          <w:tcPr/>
          <w:p>
            <w:pPr>
              <w:pStyle w:val="Compact"/>
              <w:jc w:val="left"/>
            </w:pPr>
            <w:r>
              <w:t xml:space="preserve">4,8</w:t>
            </w:r>
          </w:p>
        </w:tc>
        <w:tc>
          <w:tcPr/>
          <w:p>
            <w:pPr>
              <w:pStyle w:val="Compact"/>
              <w:jc w:val="left"/>
            </w:pPr>
            <w:r>
              <w:t xml:space="preserve">18,8</w:t>
            </w:r>
          </w:p>
        </w:tc>
        <w:tc>
          <w:tcPr/>
          <w:p>
            <w:pPr>
              <w:pStyle w:val="Compact"/>
              <w:jc w:val="left"/>
            </w:pPr>
            <w:r>
              <w:t xml:space="preserve">1,53</w:t>
            </w:r>
          </w:p>
        </w:tc>
      </w:tr>
      <w:tr>
        <w:tc>
          <w:tcPr/>
          <w:p>
            <w:pPr>
              <w:pStyle w:val="Compact"/>
              <w:jc w:val="left"/>
            </w:pPr>
            <w:r>
              <w:t xml:space="preserve">Emerging — dân số lớn</w:t>
            </w:r>
          </w:p>
        </w:tc>
        <w:tc>
          <w:tcPr/>
          <w:p>
            <w:pPr>
              <w:pStyle w:val="Compact"/>
              <w:jc w:val="left"/>
            </w:pPr>
            <w:r>
              <w:t xml:space="preserve">IND, LKA, JOR</w:t>
            </w:r>
          </w:p>
        </w:tc>
        <w:tc>
          <w:tcPr/>
          <w:p>
            <w:pPr>
              <w:pStyle w:val="Compact"/>
              <w:jc w:val="left"/>
            </w:pPr>
            <w:r>
              <w:t xml:space="preserve">32.119</w:t>
            </w:r>
          </w:p>
        </w:tc>
        <w:tc>
          <w:tcPr/>
          <w:p>
            <w:pPr>
              <w:pStyle w:val="Compact"/>
              <w:jc w:val="left"/>
            </w:pPr>
            <w:r>
              <w:rPr>
                <w:bCs/>
                <w:b/>
              </w:rPr>
              <w:t xml:space="preserve">7,2</w:t>
            </w:r>
          </w:p>
        </w:tc>
        <w:tc>
          <w:tcPr/>
          <w:p>
            <w:pPr>
              <w:pStyle w:val="Compact"/>
              <w:jc w:val="left"/>
            </w:pPr>
            <w:r>
              <w:t xml:space="preserve">13,8</w:t>
            </w:r>
          </w:p>
        </w:tc>
        <w:tc>
          <w:tcPr/>
          <w:p>
            <w:pPr>
              <w:pStyle w:val="Compact"/>
              <w:jc w:val="left"/>
            </w:pPr>
            <w:r>
              <w:t xml:space="preserve">1,9</w:t>
            </w:r>
          </w:p>
        </w:tc>
        <w:tc>
          <w:tcPr/>
          <w:p>
            <w:pPr>
              <w:pStyle w:val="Compact"/>
              <w:jc w:val="left"/>
            </w:pPr>
            <w:r>
              <w:t xml:space="preserve">49,5</w:t>
            </w:r>
          </w:p>
        </w:tc>
        <w:tc>
          <w:tcPr/>
          <w:p>
            <w:pPr>
              <w:pStyle w:val="Compact"/>
              <w:jc w:val="left"/>
            </w:pPr>
            <w:r>
              <w:t xml:space="preserve">19,8</w:t>
            </w:r>
          </w:p>
        </w:tc>
        <w:tc>
          <w:tcPr/>
          <w:p>
            <w:pPr>
              <w:pStyle w:val="Compact"/>
              <w:jc w:val="left"/>
            </w:pPr>
            <w:r>
              <w:t xml:space="preserve">27,6</w:t>
            </w:r>
          </w:p>
        </w:tc>
        <w:tc>
          <w:tcPr/>
          <w:p>
            <w:pPr>
              <w:pStyle w:val="Compact"/>
              <w:jc w:val="left"/>
            </w:pPr>
            <w:r>
              <w:t xml:space="preserve">1,16</w:t>
            </w:r>
          </w:p>
        </w:tc>
      </w:tr>
      <w:tr>
        <w:tc>
          <w:tcPr/>
          <w:p>
            <w:pPr>
              <w:pStyle w:val="Compact"/>
              <w:jc w:val="left"/>
            </w:pPr>
            <w:r>
              <w:t xml:space="preserve">Emerging — tài nguyên</w:t>
            </w:r>
          </w:p>
        </w:tc>
        <w:tc>
          <w:tcPr/>
          <w:p>
            <w:pPr>
              <w:pStyle w:val="Compact"/>
              <w:jc w:val="left"/>
            </w:pPr>
            <w:r>
              <w:t xml:space="preserve">MNG</w:t>
            </w:r>
          </w:p>
        </w:tc>
        <w:tc>
          <w:tcPr/>
          <w:p>
            <w:pPr>
              <w:pStyle w:val="Compact"/>
              <w:jc w:val="left"/>
            </w:pPr>
            <w:r>
              <w:t xml:space="preserve">1.905</w:t>
            </w:r>
          </w:p>
        </w:tc>
        <w:tc>
          <w:tcPr/>
          <w:p>
            <w:pPr>
              <w:pStyle w:val="Compact"/>
              <w:jc w:val="left"/>
            </w:pPr>
            <w:r>
              <w:rPr>
                <w:bCs/>
                <w:b/>
              </w:rPr>
              <w:t xml:space="preserve">5,0</w:t>
            </w:r>
          </w:p>
        </w:tc>
        <w:tc>
          <w:tcPr/>
          <w:p>
            <w:pPr>
              <w:pStyle w:val="Compact"/>
              <w:jc w:val="left"/>
            </w:pPr>
            <w:r>
              <w:t xml:space="preserve">9,7</w:t>
            </w:r>
          </w:p>
        </w:tc>
        <w:tc>
          <w:tcPr/>
          <w:p>
            <w:pPr>
              <w:pStyle w:val="Compact"/>
              <w:jc w:val="left"/>
            </w:pPr>
            <w:r>
              <w:t xml:space="preserve">4,7</w:t>
            </w:r>
          </w:p>
        </w:tc>
        <w:tc>
          <w:tcPr/>
          <w:p>
            <w:pPr>
              <w:pStyle w:val="Compact"/>
              <w:jc w:val="left"/>
            </w:pPr>
            <w:r>
              <w:t xml:space="preserve">50,1</w:t>
            </w:r>
          </w:p>
        </w:tc>
        <w:tc>
          <w:tcPr/>
          <w:p>
            <w:pPr>
              <w:pStyle w:val="Compact"/>
              <w:jc w:val="left"/>
            </w:pPr>
            <w:r>
              <w:t xml:space="preserve">20,8</w:t>
            </w:r>
          </w:p>
        </w:tc>
        <w:tc>
          <w:tcPr/>
          <w:p>
            <w:pPr>
              <w:pStyle w:val="Compact"/>
              <w:jc w:val="left"/>
            </w:pPr>
            <w:r>
              <w:t xml:space="preserve">15,4</w:t>
            </w:r>
          </w:p>
        </w:tc>
        <w:tc>
          <w:tcPr/>
          <w:p>
            <w:pPr>
              <w:pStyle w:val="Compact"/>
              <w:jc w:val="left"/>
            </w:pPr>
            <w:r>
              <w:t xml:space="preserve">1,16</w:t>
            </w:r>
          </w:p>
        </w:tc>
      </w:tr>
      <w:tr>
        <w:tc>
          <w:tcPr/>
          <w:p>
            <w:pPr>
              <w:pStyle w:val="Compact"/>
              <w:jc w:val="left"/>
            </w:pPr>
            <w:r>
              <w:rPr>
                <w:bCs/>
                <w:b/>
              </w:rPr>
              <w:t xml:space="preserve">Tổng Emerging</w:t>
            </w:r>
          </w:p>
        </w:tc>
        <w:tc>
          <w:tcPr/>
          <w:p>
            <w:pPr>
              <w:pStyle w:val="Compact"/>
              <w:jc w:val="left"/>
            </w:pPr>
            <w:r>
              <w:t xml:space="preserve">7 nước</w:t>
            </w:r>
          </w:p>
        </w:tc>
        <w:tc>
          <w:tcPr/>
          <w:p>
            <w:pPr>
              <w:pStyle w:val="Compact"/>
              <w:jc w:val="left"/>
            </w:pPr>
            <w:r>
              <w:rPr>
                <w:bCs/>
                <w:b/>
              </w:rPr>
              <w:t xml:space="preserve">47.803</w:t>
            </w:r>
          </w:p>
        </w:tc>
        <w:tc>
          <w:tcPr/>
          <w:p>
            <w:pPr>
              <w:pStyle w:val="Compact"/>
              <w:jc w:val="left"/>
            </w:pPr>
            <w:r>
              <w:t xml:space="preserve">8,6</w:t>
            </w:r>
          </w:p>
        </w:tc>
        <w:tc>
          <w:tcPr/>
          <w:p>
            <w:pPr>
              <w:pStyle w:val="Compact"/>
              <w:jc w:val="left"/>
            </w:pPr>
            <w:r>
              <w:t xml:space="preserve">15,5</w:t>
            </w:r>
          </w:p>
        </w:tc>
        <w:tc>
          <w:tcPr/>
          <w:p>
            <w:pPr>
              <w:pStyle w:val="Compact"/>
              <w:jc w:val="left"/>
            </w:pPr>
            <w:r>
              <w:t xml:space="preserve">4,7</w:t>
            </w:r>
          </w:p>
        </w:tc>
        <w:tc>
          <w:tcPr/>
          <w:p>
            <w:pPr>
              <w:pStyle w:val="Compact"/>
              <w:jc w:val="left"/>
            </w:pPr>
            <w:r>
              <w:t xml:space="preserve">49,2</w:t>
            </w:r>
          </w:p>
        </w:tc>
        <w:tc>
          <w:tcPr/>
          <w:p>
            <w:pPr>
              <w:pStyle w:val="Compact"/>
              <w:jc w:val="left"/>
            </w:pPr>
            <w:r>
              <w:t xml:space="preserve">16,4</w:t>
            </w:r>
          </w:p>
        </w:tc>
        <w:tc>
          <w:tcPr/>
          <w:p>
            <w:pPr>
              <w:pStyle w:val="Compact"/>
              <w:jc w:val="left"/>
            </w:pPr>
            <w:r>
              <w:t xml:space="preserve">24,9</w:t>
            </w:r>
          </w:p>
        </w:tc>
        <w:tc>
          <w:tcPr/>
          <w:p>
            <w:pPr>
              <w:pStyle w:val="Compact"/>
              <w:jc w:val="left"/>
            </w:pPr>
            <w:r>
              <w:t xml:space="preserve">1,24</w:t>
            </w:r>
          </w:p>
        </w:tc>
      </w:tr>
    </w:tbl>
    <w:p>
      <w:pPr>
        <w:pStyle w:val="BodyText"/>
      </w:pPr>
      <w:r>
        <w:rPr>
          <w:iCs/>
          <w:i/>
        </w:rPr>
        <w:t xml:space="preserve">Ghi chú phân rã cấp quốc gia hàng</w:t>
      </w:r>
      <w:r>
        <w:rPr>
          <w:iCs/>
          <w:i/>
        </w:rPr>
        <w:t xml:space="preserve"> </w:t>
      </w:r>
      <w:r>
        <w:rPr>
          <w:iCs/>
          <w:i/>
        </w:rPr>
        <w:t xml:space="preserve">“</w:t>
      </w:r>
      <w:r>
        <w:rPr>
          <w:iCs/>
          <w:i/>
        </w:rPr>
        <w:t xml:space="preserve">Emerging, FDI dẫn dắt SEA</w:t>
      </w:r>
      <w:r>
        <w:rPr>
          <w:iCs/>
          <w:i/>
        </w:rPr>
        <w:t xml:space="preserve">”</w:t>
      </w:r>
      <w:r>
        <w:rPr>
          <w:iCs/>
          <w:i/>
        </w:rPr>
        <w:t xml:space="preserve"> </w:t>
      </w:r>
      <w:r>
        <w:rPr>
          <w:iCs/>
          <w:i/>
        </w:rPr>
        <w:t xml:space="preserve">(n=13.779)</w:t>
      </w:r>
      <w:r>
        <w:t xml:space="preserve">: Ba nước cấu thành gồm Việt Nam (VNM, n=3.077, khớp với tổng doanh nghiệp Việt Nam trong pool ở Mục 5.3 mục §2.3.2–§2.4 chuyên đề), Indonesia (IDN, n≈7.500) và Philippines (PHL, n≈3.200); tổng đối chiếu ≈ 13.777, sai số làm tròn so với 13.779. Chỉ con số Việt Nam là chính xác từ pool; n của IDN và PHL là ước tính phần dư (residual) và sẽ được chốt số chính xác trong gói tái lập của CĐ2. Lưu ý rằng số liệu hồi quy phụ của Việt Nam ở Bảng 6.1.2 (mục §2.3.2–§2.4 chuyên đề) dùng mẫu phụ complete-case n=2.958, nhỏ hơn 3.077 ở đây vì ràng buộc đủ biến giải thích (xem ghi chú đối chiếu cỡ mẫu §2.3.2.3 mục §2.3.2–§2.4 chuyên đề).</w:t>
      </w:r>
    </w:p>
    <w:p>
      <w:pPr>
        <w:pStyle w:val="BodyText"/>
      </w:pPr>
      <w:r>
        <w:t xml:space="preserve">Năm phát hiện: (1) FSTS phân tầng 5,0%-7,2%-13,2% bị che giấu; (2) FDI chênh lệch 6× ASEAN-3 vs Nam Á+Tây Á; (3) TCI ngược dấu; (4) Mongolia boundary case; (5) sd log 1,53 vs 1,16, two-tier (Hsieh &amp; Klenow, 2009).</w:t>
      </w:r>
    </w:p>
    <w:bookmarkEnd w:id="74"/>
    <w:bookmarkStart w:id="75" w:name="phân-tích-sâu-đợt-khảo-sát-2025"/>
    <w:p>
      <w:pPr>
        <w:pStyle w:val="Heading5"/>
      </w:pPr>
      <w:r>
        <w:t xml:space="preserve">2.3.1.10 Phân tích sâu đợt khảo sát 2025</w:t>
      </w:r>
    </w:p>
    <w:p>
      <w:pPr>
        <w:pStyle w:val="BlockText"/>
      </w:pPr>
      <w:r>
        <w:t xml:space="preserve">Đợt 2025 chiếm 17.107 doanh nghiệp (16,9% pool, gồm Kiribati 2025).</w:t>
      </w:r>
    </w:p>
    <w:p>
      <w:pPr>
        <w:pStyle w:val="FirstParagraph"/>
      </w:pPr>
      <w:r>
        <w:rPr>
          <w:bCs/>
          <w:b/>
        </w:rPr>
        <w:t xml:space="preserve">Bảng 4.10</w:t>
      </w:r>
      <w:r>
        <w:t xml:space="preserve">.</w:t>
      </w:r>
      <w:r>
        <w:t xml:space="preserve"> </w:t>
      </w:r>
      <w:r>
        <w:rPr>
          <w:iCs/>
          <w:i/>
        </w:rPr>
        <w:t xml:space="preserve">14 quốc gia trong đợt 2025 (n=17.107, gồm Kiribati 2025).</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Quốc gia</w:t>
            </w:r>
          </w:p>
        </w:tc>
        <w:tc>
          <w:tcPr/>
          <w:p>
            <w:pPr>
              <w:pStyle w:val="Compact"/>
              <w:jc w:val="left"/>
            </w:pPr>
            <w:r>
              <w:t xml:space="preserve">ISO3</w:t>
            </w:r>
          </w:p>
        </w:tc>
        <w:tc>
          <w:tcPr/>
          <w:p>
            <w:pPr>
              <w:pStyle w:val="Compact"/>
              <w:jc w:val="left"/>
            </w:pPr>
            <w:r>
              <w:t xml:space="preserve">Phân nhóm con</w:t>
            </w:r>
          </w:p>
        </w:tc>
        <w:tc>
          <w:tcPr/>
          <w:p>
            <w:pPr>
              <w:pStyle w:val="Compact"/>
              <w:jc w:val="left"/>
            </w:pPr>
            <w:r>
              <w:t xml:space="preserve">n_firms</w:t>
            </w:r>
          </w:p>
        </w:tc>
        <w:tc>
          <w:tcPr/>
          <w:p>
            <w:pPr>
              <w:pStyle w:val="Compact"/>
              <w:jc w:val="left"/>
            </w:pPr>
            <w:r>
              <w:t xml:space="preserve">FSTS (%)</w:t>
            </w:r>
          </w:p>
        </w:tc>
        <w:tc>
          <w:tcPr/>
          <w:p>
            <w:pPr>
              <w:pStyle w:val="Compact"/>
              <w:jc w:val="left"/>
            </w:pPr>
            <w:r>
              <w:t xml:space="preserve">FDI (%)</w:t>
            </w:r>
          </w:p>
        </w:tc>
        <w:tc>
          <w:tcPr/>
          <w:p>
            <w:pPr>
              <w:pStyle w:val="Compact"/>
              <w:jc w:val="left"/>
            </w:pPr>
            <w:r>
              <w:t xml:space="preserve">R&amp;D (%)</w:t>
            </w:r>
          </w:p>
        </w:tc>
        <w:tc>
          <w:tcPr/>
          <w:p>
            <w:pPr>
              <w:pStyle w:val="Compact"/>
              <w:jc w:val="left"/>
            </w:pPr>
            <w:r>
              <w:t xml:space="preserve">Website (%)</w:t>
            </w:r>
          </w:p>
        </w:tc>
        <w:tc>
          <w:tcPr/>
          <w:p>
            <w:pPr>
              <w:pStyle w:val="Compact"/>
              <w:jc w:val="left"/>
            </w:pPr>
            <w:r>
              <w:t xml:space="preserve">sd log</w:t>
            </w:r>
          </w:p>
        </w:tc>
      </w:tr>
      <w:tr>
        <w:tc>
          <w:tcPr/>
          <w:p>
            <w:pPr>
              <w:pStyle w:val="Compact"/>
              <w:jc w:val="left"/>
            </w:pPr>
            <w:r>
              <w:t xml:space="preserve">Ấn Độ</w:t>
            </w:r>
          </w:p>
        </w:tc>
        <w:tc>
          <w:tcPr/>
          <w:p>
            <w:pPr>
              <w:pStyle w:val="Compact"/>
              <w:jc w:val="left"/>
            </w:pPr>
            <w:r>
              <w:t xml:space="preserve">IND</w:t>
            </w:r>
          </w:p>
        </w:tc>
        <w:tc>
          <w:tcPr/>
          <w:p>
            <w:pPr>
              <w:pStyle w:val="Compact"/>
              <w:jc w:val="left"/>
            </w:pPr>
            <w:r>
              <w:t xml:space="preserve">Emerging</w:t>
            </w:r>
          </w:p>
        </w:tc>
        <w:tc>
          <w:tcPr/>
          <w:p>
            <w:pPr>
              <w:pStyle w:val="Compact"/>
              <w:jc w:val="left"/>
            </w:pPr>
            <w:r>
              <w:t xml:space="preserve">10.479</w:t>
            </w:r>
          </w:p>
        </w:tc>
        <w:tc>
          <w:tcPr/>
          <w:p>
            <w:pPr>
              <w:pStyle w:val="Compact"/>
              <w:jc w:val="left"/>
            </w:pPr>
            <w:r>
              <w:t xml:space="preserve">2,7</w:t>
            </w:r>
          </w:p>
        </w:tc>
        <w:tc>
          <w:tcPr/>
          <w:p>
            <w:pPr>
              <w:pStyle w:val="Compact"/>
              <w:jc w:val="left"/>
            </w:pPr>
            <w:r>
              <w:t xml:space="preserve">1,9</w:t>
            </w:r>
          </w:p>
        </w:tc>
        <w:tc>
          <w:tcPr/>
          <w:p>
            <w:pPr>
              <w:pStyle w:val="Compact"/>
              <w:jc w:val="left"/>
            </w:pPr>
            <w:r>
              <w:t xml:space="preserve">2,2</w:t>
            </w:r>
          </w:p>
        </w:tc>
        <w:tc>
          <w:tcPr/>
          <w:p>
            <w:pPr>
              <w:pStyle w:val="Compact"/>
              <w:jc w:val="left"/>
            </w:pPr>
            <w:r>
              <w:t xml:space="preserve">41,8</w:t>
            </w:r>
          </w:p>
        </w:tc>
        <w:tc>
          <w:tcPr/>
          <w:p>
            <w:pPr>
              <w:pStyle w:val="Compact"/>
              <w:jc w:val="left"/>
            </w:pPr>
            <w:r>
              <w:t xml:space="preserve">0,83</w:t>
            </w:r>
          </w:p>
        </w:tc>
      </w:tr>
      <w:tr>
        <w:tc>
          <w:tcPr/>
          <w:p>
            <w:pPr>
              <w:pStyle w:val="Compact"/>
              <w:jc w:val="left"/>
            </w:pPr>
            <w:r>
              <w:t xml:space="preserve">Nepal¹</w:t>
            </w:r>
          </w:p>
        </w:tc>
        <w:tc>
          <w:tcPr/>
          <w:p>
            <w:pPr>
              <w:pStyle w:val="Compact"/>
              <w:jc w:val="left"/>
            </w:pPr>
            <w:r>
              <w:t xml:space="preserve">NPL</w:t>
            </w:r>
          </w:p>
        </w:tc>
        <w:tc>
          <w:tcPr/>
          <w:p>
            <w:pPr>
              <w:pStyle w:val="Compact"/>
              <w:jc w:val="left"/>
            </w:pPr>
            <w:r>
              <w:t xml:space="preserve">Frontier</w:t>
            </w:r>
          </w:p>
        </w:tc>
        <w:tc>
          <w:tcPr/>
          <w:p>
            <w:pPr>
              <w:pStyle w:val="Compact"/>
              <w:jc w:val="left"/>
            </w:pPr>
            <w:r>
              <w:t xml:space="preserve">1.740</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Saudi Arabia</w:t>
            </w:r>
          </w:p>
        </w:tc>
        <w:tc>
          <w:tcPr/>
          <w:p>
            <w:pPr>
              <w:pStyle w:val="Compact"/>
              <w:jc w:val="left"/>
            </w:pPr>
            <w:r>
              <w:t xml:space="preserve">SAU</w:t>
            </w:r>
          </w:p>
        </w:tc>
        <w:tc>
          <w:tcPr/>
          <w:p>
            <w:pPr>
              <w:pStyle w:val="Compact"/>
              <w:jc w:val="left"/>
            </w:pPr>
            <w:r>
              <w:t xml:space="preserve">Advanced</w:t>
            </w:r>
          </w:p>
        </w:tc>
        <w:tc>
          <w:tcPr/>
          <w:p>
            <w:pPr>
              <w:pStyle w:val="Compact"/>
              <w:jc w:val="left"/>
            </w:pPr>
            <w:r>
              <w:t xml:space="preserve">1.002</w:t>
            </w:r>
          </w:p>
        </w:tc>
        <w:tc>
          <w:tcPr/>
          <w:p>
            <w:pPr>
              <w:pStyle w:val="Compact"/>
              <w:jc w:val="left"/>
            </w:pPr>
            <w:r>
              <w:t xml:space="preserve">2,7</w:t>
            </w:r>
          </w:p>
        </w:tc>
        <w:tc>
          <w:tcPr/>
          <w:p>
            <w:pPr>
              <w:pStyle w:val="Compact"/>
              <w:jc w:val="left"/>
            </w:pPr>
            <w:r>
              <w:t xml:space="preserve">9,5</w:t>
            </w:r>
          </w:p>
        </w:tc>
        <w:tc>
          <w:tcPr/>
          <w:p>
            <w:pPr>
              <w:pStyle w:val="Compact"/>
              <w:jc w:val="left"/>
            </w:pPr>
            <w:r>
              <w:t xml:space="preserve">1,7</w:t>
            </w:r>
          </w:p>
        </w:tc>
        <w:tc>
          <w:tcPr/>
          <w:p>
            <w:pPr>
              <w:pStyle w:val="Compact"/>
              <w:jc w:val="left"/>
            </w:pPr>
            <w:r>
              <w:t xml:space="preserve">30,2</w:t>
            </w:r>
          </w:p>
        </w:tc>
        <w:tc>
          <w:tcPr/>
          <w:p>
            <w:pPr>
              <w:pStyle w:val="Compact"/>
              <w:jc w:val="left"/>
            </w:pPr>
            <w:r>
              <w:rPr>
                <w:bCs/>
                <w:b/>
              </w:rPr>
              <w:t xml:space="preserve">0,47</w:t>
            </w:r>
          </w:p>
        </w:tc>
      </w:tr>
      <w:tr>
        <w:tc>
          <w:tcPr/>
          <w:p>
            <w:pPr>
              <w:pStyle w:val="Compact"/>
              <w:jc w:val="left"/>
            </w:pPr>
            <w:r>
              <w:t xml:space="preserve">Thái Lan</w:t>
            </w:r>
          </w:p>
        </w:tc>
        <w:tc>
          <w:tcPr/>
          <w:p>
            <w:pPr>
              <w:pStyle w:val="Compact"/>
              <w:jc w:val="left"/>
            </w:pPr>
            <w:r>
              <w:t xml:space="preserve">THA</w:t>
            </w:r>
          </w:p>
        </w:tc>
        <w:tc>
          <w:tcPr/>
          <w:p>
            <w:pPr>
              <w:pStyle w:val="Compact"/>
              <w:jc w:val="left"/>
            </w:pPr>
            <w:r>
              <w:t xml:space="preserve">Upper-middle</w:t>
            </w:r>
          </w:p>
        </w:tc>
        <w:tc>
          <w:tcPr/>
          <w:p>
            <w:pPr>
              <w:pStyle w:val="Compact"/>
              <w:jc w:val="left"/>
            </w:pPr>
            <w:r>
              <w:t xml:space="preserve">813</w:t>
            </w:r>
          </w:p>
        </w:tc>
        <w:tc>
          <w:tcPr/>
          <w:p>
            <w:pPr>
              <w:pStyle w:val="Compact"/>
              <w:jc w:val="left"/>
            </w:pPr>
            <w:r>
              <w:t xml:space="preserve">9,3</w:t>
            </w:r>
          </w:p>
        </w:tc>
        <w:tc>
          <w:tcPr/>
          <w:p>
            <w:pPr>
              <w:pStyle w:val="Compact"/>
              <w:jc w:val="left"/>
            </w:pPr>
            <w:r>
              <w:t xml:space="preserve">6,3</w:t>
            </w:r>
          </w:p>
        </w:tc>
        <w:tc>
          <w:tcPr/>
          <w:p>
            <w:pPr>
              <w:pStyle w:val="Compact"/>
              <w:jc w:val="left"/>
            </w:pPr>
            <w:r>
              <w:t xml:space="preserve">8,7</w:t>
            </w:r>
          </w:p>
        </w:tc>
        <w:tc>
          <w:tcPr/>
          <w:p>
            <w:pPr>
              <w:pStyle w:val="Compact"/>
              <w:jc w:val="left"/>
            </w:pPr>
            <w:r>
              <w:t xml:space="preserve">61,9</w:t>
            </w:r>
          </w:p>
        </w:tc>
        <w:tc>
          <w:tcPr/>
          <w:p>
            <w:pPr>
              <w:pStyle w:val="Compact"/>
              <w:jc w:val="left"/>
            </w:pPr>
            <w:r>
              <w:t xml:space="preserve">1,38</w:t>
            </w:r>
          </w:p>
        </w:tc>
      </w:tr>
      <w:tr>
        <w:tc>
          <w:tcPr/>
          <w:p>
            <w:pPr>
              <w:pStyle w:val="Compact"/>
              <w:jc w:val="left"/>
            </w:pPr>
            <w:r>
              <w:t xml:space="preserve">Sri Lanka</w:t>
            </w:r>
          </w:p>
        </w:tc>
        <w:tc>
          <w:tcPr/>
          <w:p>
            <w:pPr>
              <w:pStyle w:val="Compact"/>
              <w:jc w:val="left"/>
            </w:pPr>
            <w:r>
              <w:t xml:space="preserve">LKA</w:t>
            </w:r>
          </w:p>
        </w:tc>
        <w:tc>
          <w:tcPr/>
          <w:p>
            <w:pPr>
              <w:pStyle w:val="Compact"/>
              <w:jc w:val="left"/>
            </w:pPr>
            <w:r>
              <w:t xml:space="preserve">Emerging</w:t>
            </w:r>
          </w:p>
        </w:tc>
        <w:tc>
          <w:tcPr/>
          <w:p>
            <w:pPr>
              <w:pStyle w:val="Compact"/>
              <w:jc w:val="left"/>
            </w:pPr>
            <w:r>
              <w:t xml:space="preserve">607</w:t>
            </w:r>
          </w:p>
        </w:tc>
        <w:tc>
          <w:tcPr/>
          <w:p>
            <w:pPr>
              <w:pStyle w:val="Compact"/>
              <w:jc w:val="left"/>
            </w:pPr>
            <w:r>
              <w:t xml:space="preserve">16,1</w:t>
            </w:r>
          </w:p>
        </w:tc>
        <w:tc>
          <w:tcPr/>
          <w:p>
            <w:pPr>
              <w:pStyle w:val="Compact"/>
              <w:jc w:val="left"/>
            </w:pPr>
            <w:r>
              <w:t xml:space="preserve">1,8</w:t>
            </w:r>
          </w:p>
        </w:tc>
        <w:tc>
          <w:tcPr/>
          <w:p>
            <w:pPr>
              <w:pStyle w:val="Compact"/>
              <w:jc w:val="left"/>
            </w:pPr>
            <w:r>
              <w:t xml:space="preserve">4,1</w:t>
            </w:r>
          </w:p>
        </w:tc>
        <w:tc>
          <w:tcPr/>
          <w:p>
            <w:pPr>
              <w:pStyle w:val="Compact"/>
              <w:jc w:val="left"/>
            </w:pPr>
            <w:r>
              <w:t xml:space="preserve">48,8</w:t>
            </w:r>
          </w:p>
        </w:tc>
        <w:tc>
          <w:tcPr/>
          <w:p>
            <w:pPr>
              <w:pStyle w:val="Compact"/>
              <w:jc w:val="left"/>
            </w:pPr>
            <w:r>
              <w:t xml:space="preserve">1,00</w:t>
            </w:r>
          </w:p>
        </w:tc>
      </w:tr>
      <w:tr>
        <w:tc>
          <w:tcPr/>
          <w:p>
            <w:pPr>
              <w:pStyle w:val="Compact"/>
              <w:jc w:val="left"/>
            </w:pPr>
            <w:r>
              <w:t xml:space="preserve">Mongolia</w:t>
            </w:r>
          </w:p>
        </w:tc>
        <w:tc>
          <w:tcPr/>
          <w:p>
            <w:pPr>
              <w:pStyle w:val="Compact"/>
              <w:jc w:val="left"/>
            </w:pPr>
            <w:r>
              <w:t xml:space="preserve">MNG</w:t>
            </w:r>
          </w:p>
        </w:tc>
        <w:tc>
          <w:tcPr/>
          <w:p>
            <w:pPr>
              <w:pStyle w:val="Compact"/>
              <w:jc w:val="left"/>
            </w:pPr>
            <w:r>
              <w:t xml:space="preserve">Emerging</w:t>
            </w:r>
          </w:p>
        </w:tc>
        <w:tc>
          <w:tcPr/>
          <w:p>
            <w:pPr>
              <w:pStyle w:val="Compact"/>
              <w:jc w:val="left"/>
            </w:pPr>
            <w:r>
              <w:t xml:space="preserve">601</w:t>
            </w:r>
          </w:p>
        </w:tc>
        <w:tc>
          <w:tcPr/>
          <w:p>
            <w:pPr>
              <w:pStyle w:val="Compact"/>
              <w:jc w:val="left"/>
            </w:pPr>
            <w:r>
              <w:t xml:space="preserve">5,9</w:t>
            </w:r>
          </w:p>
        </w:tc>
        <w:tc>
          <w:tcPr/>
          <w:p>
            <w:pPr>
              <w:pStyle w:val="Compact"/>
              <w:jc w:val="left"/>
            </w:pPr>
            <w:r>
              <w:t xml:space="preserve">3,2</w:t>
            </w:r>
          </w:p>
        </w:tc>
        <w:tc>
          <w:tcPr/>
          <w:p>
            <w:pPr>
              <w:pStyle w:val="Compact"/>
              <w:jc w:val="left"/>
            </w:pPr>
            <w:r>
              <w:t xml:space="preserve">20,8</w:t>
            </w:r>
          </w:p>
        </w:tc>
        <w:tc>
          <w:tcPr/>
          <w:p>
            <w:pPr>
              <w:pStyle w:val="Compact"/>
              <w:jc w:val="left"/>
            </w:pPr>
            <w:r>
              <w:t xml:space="preserve">64,7</w:t>
            </w:r>
          </w:p>
        </w:tc>
        <w:tc>
          <w:tcPr/>
          <w:p>
            <w:pPr>
              <w:pStyle w:val="Compact"/>
              <w:jc w:val="left"/>
            </w:pPr>
            <w:r>
              <w:t xml:space="preserve">1,15</w:t>
            </w:r>
          </w:p>
        </w:tc>
      </w:tr>
      <w:tr>
        <w:tc>
          <w:tcPr/>
          <w:p>
            <w:pPr>
              <w:pStyle w:val="Compact"/>
              <w:jc w:val="left"/>
            </w:pPr>
            <w:r>
              <w:t xml:space="preserve">Qatar</w:t>
            </w:r>
          </w:p>
        </w:tc>
        <w:tc>
          <w:tcPr/>
          <w:p>
            <w:pPr>
              <w:pStyle w:val="Compact"/>
              <w:jc w:val="left"/>
            </w:pPr>
            <w:r>
              <w:t xml:space="preserve">QAT</w:t>
            </w:r>
          </w:p>
        </w:tc>
        <w:tc>
          <w:tcPr/>
          <w:p>
            <w:pPr>
              <w:pStyle w:val="Compact"/>
              <w:jc w:val="left"/>
            </w:pPr>
            <w:r>
              <w:t xml:space="preserve">Advanced</w:t>
            </w:r>
          </w:p>
        </w:tc>
        <w:tc>
          <w:tcPr/>
          <w:p>
            <w:pPr>
              <w:pStyle w:val="Compact"/>
              <w:jc w:val="left"/>
            </w:pPr>
            <w:r>
              <w:t xml:space="preserve">480</w:t>
            </w:r>
          </w:p>
        </w:tc>
        <w:tc>
          <w:tcPr/>
          <w:p>
            <w:pPr>
              <w:pStyle w:val="Compact"/>
              <w:jc w:val="left"/>
            </w:pPr>
            <w:r>
              <w:t xml:space="preserve">2,3</w:t>
            </w:r>
          </w:p>
        </w:tc>
        <w:tc>
          <w:tcPr/>
          <w:p>
            <w:pPr>
              <w:pStyle w:val="Compact"/>
              <w:jc w:val="left"/>
            </w:pPr>
            <w:r>
              <w:t xml:space="preserve">19,4</w:t>
            </w:r>
          </w:p>
        </w:tc>
        <w:tc>
          <w:tcPr/>
          <w:p>
            <w:pPr>
              <w:pStyle w:val="Compact"/>
              <w:jc w:val="left"/>
            </w:pPr>
            <w:r>
              <w:t xml:space="preserve">0,6</w:t>
            </w:r>
          </w:p>
        </w:tc>
        <w:tc>
          <w:tcPr/>
          <w:p>
            <w:pPr>
              <w:pStyle w:val="Compact"/>
              <w:jc w:val="left"/>
            </w:pPr>
            <w:r>
              <w:t xml:space="preserve">63,3</w:t>
            </w:r>
          </w:p>
        </w:tc>
        <w:tc>
          <w:tcPr/>
          <w:p>
            <w:pPr>
              <w:pStyle w:val="Compact"/>
              <w:jc w:val="left"/>
            </w:pPr>
            <w:r>
              <w:rPr>
                <w:bCs/>
                <w:b/>
              </w:rPr>
              <w:t xml:space="preserve">0,31</w:t>
            </w:r>
          </w:p>
        </w:tc>
      </w:tr>
      <w:tr>
        <w:tc>
          <w:tcPr/>
          <w:p>
            <w:pPr>
              <w:pStyle w:val="Compact"/>
              <w:jc w:val="left"/>
            </w:pPr>
            <w:r>
              <w:t xml:space="preserve">Afghanistan</w:t>
            </w:r>
          </w:p>
        </w:tc>
        <w:tc>
          <w:tcPr/>
          <w:p>
            <w:pPr>
              <w:pStyle w:val="Compact"/>
              <w:jc w:val="left"/>
            </w:pPr>
            <w:r>
              <w:t xml:space="preserve">AFG</w:t>
            </w:r>
          </w:p>
        </w:tc>
        <w:tc>
          <w:tcPr/>
          <w:p>
            <w:pPr>
              <w:pStyle w:val="Compact"/>
              <w:jc w:val="left"/>
            </w:pPr>
            <w:r>
              <w:t xml:space="preserve">Frontier</w:t>
            </w:r>
          </w:p>
        </w:tc>
        <w:tc>
          <w:tcPr/>
          <w:p>
            <w:pPr>
              <w:pStyle w:val="Compact"/>
              <w:jc w:val="left"/>
            </w:pPr>
            <w:r>
              <w:t xml:space="preserve">480</w:t>
            </w:r>
          </w:p>
        </w:tc>
        <w:tc>
          <w:tcPr/>
          <w:p>
            <w:pPr>
              <w:pStyle w:val="Compact"/>
              <w:jc w:val="left"/>
            </w:pPr>
            <w:r>
              <w:t xml:space="preserve">6,4</w:t>
            </w:r>
          </w:p>
        </w:tc>
        <w:tc>
          <w:tcPr/>
          <w:p>
            <w:pPr>
              <w:pStyle w:val="Compact"/>
              <w:jc w:val="left"/>
            </w:pPr>
            <w:r>
              <w:t xml:space="preserve">1,0</w:t>
            </w:r>
          </w:p>
        </w:tc>
        <w:tc>
          <w:tcPr/>
          <w:p>
            <w:pPr>
              <w:pStyle w:val="Compact"/>
              <w:jc w:val="left"/>
            </w:pPr>
            <w:r>
              <w:t xml:space="preserve">25,8</w:t>
            </w:r>
          </w:p>
        </w:tc>
        <w:tc>
          <w:tcPr/>
          <w:p>
            <w:pPr>
              <w:pStyle w:val="Compact"/>
              <w:jc w:val="left"/>
            </w:pPr>
            <w:r>
              <w:t xml:space="preserve">45,8</w:t>
            </w:r>
          </w:p>
        </w:tc>
        <w:tc>
          <w:tcPr/>
          <w:p>
            <w:pPr>
              <w:pStyle w:val="Compact"/>
              <w:jc w:val="left"/>
            </w:pPr>
            <w:r>
              <w:t xml:space="preserve">1,42</w:t>
            </w:r>
          </w:p>
        </w:tc>
      </w:tr>
      <w:tr>
        <w:tc>
          <w:tcPr/>
          <w:p>
            <w:pPr>
              <w:pStyle w:val="Compact"/>
              <w:jc w:val="left"/>
            </w:pPr>
            <w:r>
              <w:t xml:space="preserve">Maldives</w:t>
            </w:r>
          </w:p>
        </w:tc>
        <w:tc>
          <w:tcPr/>
          <w:p>
            <w:pPr>
              <w:pStyle w:val="Compact"/>
              <w:jc w:val="left"/>
            </w:pPr>
            <w:r>
              <w:t xml:space="preserve">MDV</w:t>
            </w:r>
          </w:p>
        </w:tc>
        <w:tc>
          <w:tcPr/>
          <w:p>
            <w:pPr>
              <w:pStyle w:val="Compact"/>
              <w:jc w:val="left"/>
            </w:pPr>
            <w:r>
              <w:t xml:space="preserve">Frontier</w:t>
            </w:r>
          </w:p>
        </w:tc>
        <w:tc>
          <w:tcPr/>
          <w:p>
            <w:pPr>
              <w:pStyle w:val="Compact"/>
              <w:jc w:val="left"/>
            </w:pPr>
            <w:r>
              <w:t xml:space="preserve">154</w:t>
            </w:r>
          </w:p>
        </w:tc>
        <w:tc>
          <w:tcPr/>
          <w:p>
            <w:pPr>
              <w:pStyle w:val="Compact"/>
              <w:jc w:val="left"/>
            </w:pPr>
            <w:r>
              <w:t xml:space="preserve">5,8</w:t>
            </w:r>
          </w:p>
        </w:tc>
        <w:tc>
          <w:tcPr/>
          <w:p>
            <w:pPr>
              <w:pStyle w:val="Compact"/>
              <w:jc w:val="left"/>
            </w:pPr>
            <w:r>
              <w:t xml:space="preserve">4,5</w:t>
            </w:r>
          </w:p>
        </w:tc>
        <w:tc>
          <w:tcPr/>
          <w:p>
            <w:pPr>
              <w:pStyle w:val="Compact"/>
              <w:jc w:val="left"/>
            </w:pPr>
            <w:r>
              <w:t xml:space="preserve">22,4</w:t>
            </w:r>
          </w:p>
        </w:tc>
        <w:tc>
          <w:tcPr/>
          <w:p>
            <w:pPr>
              <w:pStyle w:val="Compact"/>
              <w:jc w:val="left"/>
            </w:pPr>
            <w:r>
              <w:rPr>
                <w:bCs/>
                <w:b/>
              </w:rPr>
              <w:t xml:space="preserve">73,4</w:t>
            </w:r>
          </w:p>
        </w:tc>
        <w:tc>
          <w:tcPr/>
          <w:p>
            <w:pPr>
              <w:pStyle w:val="Compact"/>
              <w:jc w:val="left"/>
            </w:pPr>
            <w:r>
              <w:t xml:space="preserve">1,36</w:t>
            </w:r>
          </w:p>
        </w:tc>
      </w:tr>
      <w:tr>
        <w:tc>
          <w:tcPr/>
          <w:p>
            <w:pPr>
              <w:pStyle w:val="Compact"/>
              <w:jc w:val="left"/>
            </w:pPr>
            <w:r>
              <w:t xml:space="preserve">Fiji</w:t>
            </w:r>
          </w:p>
        </w:tc>
        <w:tc>
          <w:tcPr/>
          <w:p>
            <w:pPr>
              <w:pStyle w:val="Compact"/>
              <w:jc w:val="left"/>
            </w:pPr>
            <w:r>
              <w:t xml:space="preserve">FJI</w:t>
            </w:r>
          </w:p>
        </w:tc>
        <w:tc>
          <w:tcPr/>
          <w:p>
            <w:pPr>
              <w:pStyle w:val="Compact"/>
              <w:jc w:val="left"/>
            </w:pPr>
            <w:r>
              <w:t xml:space="preserve">SIDS</w:t>
            </w:r>
          </w:p>
        </w:tc>
        <w:tc>
          <w:tcPr/>
          <w:p>
            <w:pPr>
              <w:pStyle w:val="Compact"/>
              <w:jc w:val="left"/>
            </w:pPr>
            <w:r>
              <w:t xml:space="preserve">151</w:t>
            </w:r>
          </w:p>
        </w:tc>
        <w:tc>
          <w:tcPr/>
          <w:p>
            <w:pPr>
              <w:pStyle w:val="Compact"/>
              <w:jc w:val="left"/>
            </w:pPr>
            <w:r>
              <w:t xml:space="preserve">12,5</w:t>
            </w:r>
          </w:p>
        </w:tc>
        <w:tc>
          <w:tcPr/>
          <w:p>
            <w:pPr>
              <w:pStyle w:val="Compact"/>
              <w:jc w:val="left"/>
            </w:pPr>
            <w:r>
              <w:t xml:space="preserve">9,9</w:t>
            </w:r>
          </w:p>
        </w:tc>
        <w:tc>
          <w:tcPr/>
          <w:p>
            <w:pPr>
              <w:pStyle w:val="Compact"/>
              <w:jc w:val="left"/>
            </w:pPr>
            <w:r>
              <w:t xml:space="preserve">18,8</w:t>
            </w:r>
          </w:p>
        </w:tc>
        <w:tc>
          <w:tcPr/>
          <w:p>
            <w:pPr>
              <w:pStyle w:val="Compact"/>
              <w:jc w:val="left"/>
            </w:pPr>
            <w:r>
              <w:rPr>
                <w:bCs/>
                <w:b/>
              </w:rPr>
              <w:t xml:space="preserve">74,8</w:t>
            </w:r>
          </w:p>
        </w:tc>
        <w:tc>
          <w:tcPr/>
          <w:p>
            <w:pPr>
              <w:pStyle w:val="Compact"/>
              <w:jc w:val="left"/>
            </w:pPr>
            <w:r>
              <w:t xml:space="preserve">1,09</w:t>
            </w:r>
          </w:p>
        </w:tc>
      </w:tr>
      <w:tr>
        <w:tc>
          <w:tcPr/>
          <w:p>
            <w:pPr>
              <w:pStyle w:val="Compact"/>
              <w:jc w:val="left"/>
            </w:pPr>
            <w:r>
              <w:t xml:space="preserve">Solomon Is.</w:t>
            </w:r>
          </w:p>
        </w:tc>
        <w:tc>
          <w:tcPr/>
          <w:p>
            <w:pPr>
              <w:pStyle w:val="Compact"/>
              <w:jc w:val="left"/>
            </w:pPr>
            <w:r>
              <w:t xml:space="preserve">SLB</w:t>
            </w:r>
          </w:p>
        </w:tc>
        <w:tc>
          <w:tcPr/>
          <w:p>
            <w:pPr>
              <w:pStyle w:val="Compact"/>
              <w:jc w:val="left"/>
            </w:pPr>
            <w:r>
              <w:t xml:space="preserve">SIDS</w:t>
            </w:r>
          </w:p>
        </w:tc>
        <w:tc>
          <w:tcPr/>
          <w:p>
            <w:pPr>
              <w:pStyle w:val="Compact"/>
              <w:jc w:val="left"/>
            </w:pPr>
            <w:r>
              <w:t xml:space="preserve">150</w:t>
            </w:r>
          </w:p>
        </w:tc>
        <w:tc>
          <w:tcPr/>
          <w:p>
            <w:pPr>
              <w:pStyle w:val="Compact"/>
              <w:jc w:val="left"/>
            </w:pPr>
            <w:r>
              <w:t xml:space="preserve">4,8</w:t>
            </w:r>
          </w:p>
        </w:tc>
        <w:tc>
          <w:tcPr/>
          <w:p>
            <w:pPr>
              <w:pStyle w:val="Compact"/>
              <w:jc w:val="left"/>
            </w:pPr>
            <w:r>
              <w:t xml:space="preserve">20,0</w:t>
            </w:r>
          </w:p>
        </w:tc>
        <w:tc>
          <w:tcPr/>
          <w:p>
            <w:pPr>
              <w:pStyle w:val="Compact"/>
              <w:jc w:val="left"/>
            </w:pPr>
            <w:r>
              <w:t xml:space="preserve">11,3</w:t>
            </w:r>
          </w:p>
        </w:tc>
        <w:tc>
          <w:tcPr/>
          <w:p>
            <w:pPr>
              <w:pStyle w:val="Compact"/>
              <w:jc w:val="left"/>
            </w:pPr>
            <w:r>
              <w:t xml:space="preserve">53,3</w:t>
            </w:r>
          </w:p>
        </w:tc>
        <w:tc>
          <w:tcPr/>
          <w:p>
            <w:pPr>
              <w:pStyle w:val="Compact"/>
              <w:jc w:val="left"/>
            </w:pPr>
            <w:r>
              <w:t xml:space="preserve">1,25</w:t>
            </w:r>
          </w:p>
        </w:tc>
      </w:tr>
      <w:tr>
        <w:tc>
          <w:tcPr/>
          <w:p>
            <w:pPr>
              <w:pStyle w:val="Compact"/>
              <w:jc w:val="left"/>
            </w:pPr>
            <w:r>
              <w:t xml:space="preserve">Brunei</w:t>
            </w:r>
          </w:p>
        </w:tc>
        <w:tc>
          <w:tcPr/>
          <w:p>
            <w:pPr>
              <w:pStyle w:val="Compact"/>
              <w:jc w:val="left"/>
            </w:pPr>
            <w:r>
              <w:t xml:space="preserve">BRN</w:t>
            </w:r>
          </w:p>
        </w:tc>
        <w:tc>
          <w:tcPr/>
          <w:p>
            <w:pPr>
              <w:pStyle w:val="Compact"/>
              <w:jc w:val="left"/>
            </w:pPr>
            <w:r>
              <w:t xml:space="preserve">Advanced</w:t>
            </w:r>
          </w:p>
        </w:tc>
        <w:tc>
          <w:tcPr/>
          <w:p>
            <w:pPr>
              <w:pStyle w:val="Compact"/>
              <w:jc w:val="left"/>
            </w:pPr>
            <w:r>
              <w:t xml:space="preserve">150</w:t>
            </w:r>
          </w:p>
        </w:tc>
        <w:tc>
          <w:tcPr/>
          <w:p>
            <w:pPr>
              <w:pStyle w:val="Compact"/>
              <w:jc w:val="left"/>
            </w:pPr>
            <w:r>
              <w:t xml:space="preserve">5,1</w:t>
            </w:r>
          </w:p>
        </w:tc>
        <w:tc>
          <w:tcPr/>
          <w:p>
            <w:pPr>
              <w:pStyle w:val="Compact"/>
              <w:jc w:val="left"/>
            </w:pPr>
            <w:r>
              <w:t xml:space="preserve">26,2</w:t>
            </w:r>
          </w:p>
        </w:tc>
        <w:tc>
          <w:tcPr/>
          <w:p>
            <w:pPr>
              <w:pStyle w:val="Compact"/>
              <w:jc w:val="left"/>
            </w:pPr>
            <w:r>
              <w:t xml:space="preserve">18,9</w:t>
            </w:r>
          </w:p>
        </w:tc>
        <w:tc>
          <w:tcPr/>
          <w:p>
            <w:pPr>
              <w:pStyle w:val="Compact"/>
              <w:jc w:val="left"/>
            </w:pPr>
            <w:r>
              <w:rPr>
                <w:bCs/>
                <w:b/>
              </w:rPr>
              <w:t xml:space="preserve">80,7</w:t>
            </w:r>
          </w:p>
        </w:tc>
        <w:tc>
          <w:tcPr/>
          <w:p>
            <w:pPr>
              <w:pStyle w:val="Compact"/>
              <w:jc w:val="left"/>
            </w:pPr>
            <w:r>
              <w:t xml:space="preserve">1,10</w:t>
            </w:r>
          </w:p>
        </w:tc>
      </w:tr>
      <w:tr>
        <w:tc>
          <w:tcPr/>
          <w:p>
            <w:pPr>
              <w:pStyle w:val="Compact"/>
              <w:jc w:val="left"/>
            </w:pPr>
            <w:r>
              <w:t xml:space="preserve">Kuwait</w:t>
            </w:r>
          </w:p>
        </w:tc>
        <w:tc>
          <w:tcPr/>
          <w:p>
            <w:pPr>
              <w:pStyle w:val="Compact"/>
              <w:jc w:val="left"/>
            </w:pPr>
            <w:r>
              <w:t xml:space="preserve">KWT</w:t>
            </w:r>
          </w:p>
        </w:tc>
        <w:tc>
          <w:tcPr/>
          <w:p>
            <w:pPr>
              <w:pStyle w:val="Compact"/>
              <w:jc w:val="left"/>
            </w:pPr>
            <w:r>
              <w:t xml:space="preserve">Advanced</w:t>
            </w:r>
          </w:p>
        </w:tc>
        <w:tc>
          <w:tcPr/>
          <w:p>
            <w:pPr>
              <w:pStyle w:val="Compact"/>
              <w:jc w:val="left"/>
            </w:pPr>
            <w:r>
              <w:t xml:space="preserve">150</w:t>
            </w:r>
          </w:p>
        </w:tc>
        <w:tc>
          <w:tcPr/>
          <w:p>
            <w:pPr>
              <w:pStyle w:val="Compact"/>
              <w:jc w:val="left"/>
            </w:pPr>
            <w:r>
              <w:rPr>
                <w:bCs/>
                <w:b/>
              </w:rPr>
              <w:t xml:space="preserve">0,4</w:t>
            </w:r>
          </w:p>
        </w:tc>
        <w:tc>
          <w:tcPr/>
          <w:p>
            <w:pPr>
              <w:pStyle w:val="Compact"/>
              <w:jc w:val="left"/>
            </w:pPr>
            <w:r>
              <w:t xml:space="preserve">0,0</w:t>
            </w:r>
          </w:p>
        </w:tc>
        <w:tc>
          <w:tcPr/>
          <w:p>
            <w:pPr>
              <w:pStyle w:val="Compact"/>
              <w:jc w:val="left"/>
            </w:pPr>
            <w:r>
              <w:t xml:space="preserve">20,7</w:t>
            </w:r>
          </w:p>
        </w:tc>
        <w:tc>
          <w:tcPr/>
          <w:p>
            <w:pPr>
              <w:pStyle w:val="Compact"/>
              <w:jc w:val="left"/>
            </w:pPr>
            <w:r>
              <w:t xml:space="preserve">69,3</w:t>
            </w:r>
          </w:p>
        </w:tc>
        <w:tc>
          <w:tcPr/>
          <w:p>
            <w:pPr>
              <w:pStyle w:val="Compact"/>
              <w:jc w:val="left"/>
            </w:pPr>
            <w:r>
              <w:t xml:space="preserve">1,15</w:t>
            </w:r>
          </w:p>
        </w:tc>
      </w:tr>
      <w:tr>
        <w:tc>
          <w:tcPr/>
          <w:p>
            <w:pPr>
              <w:pStyle w:val="Compact"/>
              <w:jc w:val="left"/>
            </w:pPr>
            <w:r>
              <w:rPr>
                <w:bCs/>
                <w:b/>
              </w:rPr>
              <w:t xml:space="preserve">Kiribati²</w:t>
            </w:r>
          </w:p>
        </w:tc>
        <w:tc>
          <w:tcPr/>
          <w:p>
            <w:pPr>
              <w:pStyle w:val="Compact"/>
              <w:jc w:val="left"/>
            </w:pPr>
            <w:r>
              <w:rPr>
                <w:bCs/>
                <w:b/>
              </w:rPr>
              <w:t xml:space="preserve">KIR</w:t>
            </w:r>
          </w:p>
        </w:tc>
        <w:tc>
          <w:tcPr/>
          <w:p>
            <w:pPr>
              <w:pStyle w:val="Compact"/>
              <w:jc w:val="left"/>
            </w:pPr>
            <w:r>
              <w:rPr>
                <w:bCs/>
                <w:b/>
              </w:rPr>
              <w:t xml:space="preserve">SIDS</w:t>
            </w:r>
          </w:p>
        </w:tc>
        <w:tc>
          <w:tcPr/>
          <w:p>
            <w:pPr>
              <w:pStyle w:val="Compact"/>
              <w:jc w:val="left"/>
            </w:pPr>
            <w:r>
              <w:rPr>
                <w:bCs/>
                <w:b/>
              </w:rPr>
              <w:t xml:space="preserve">150</w:t>
            </w:r>
          </w:p>
        </w:tc>
        <w:tc>
          <w:tcPr/>
          <w:p>
            <w:pPr>
              <w:pStyle w:val="Compact"/>
              <w:jc w:val="left"/>
            </w:pPr>
            <w:r>
              <w:rPr>
                <w:bCs/>
                <w:b/>
              </w:rPr>
              <w:t xml:space="preserve">1,0</w:t>
            </w:r>
          </w:p>
        </w:tc>
        <w:tc>
          <w:tcPr/>
          <w:p>
            <w:pPr>
              <w:pStyle w:val="Compact"/>
              <w:jc w:val="left"/>
            </w:pPr>
            <w:r>
              <w:rPr>
                <w:bCs/>
                <w:b/>
              </w:rPr>
              <w:t xml:space="preserve">0,7</w:t>
            </w:r>
          </w:p>
        </w:tc>
        <w:tc>
          <w:tcPr/>
          <w:p>
            <w:pPr>
              <w:pStyle w:val="Compact"/>
              <w:jc w:val="left"/>
            </w:pPr>
            <w:r>
              <w:rPr>
                <w:bCs/>
                <w:b/>
              </w:rPr>
              <w:t xml:space="preserve">14,0</w:t>
            </w:r>
          </w:p>
        </w:tc>
        <w:tc>
          <w:tcPr/>
          <w:p>
            <w:pPr>
              <w:pStyle w:val="Compact"/>
              <w:jc w:val="left"/>
            </w:pPr>
            <w:r>
              <w:rPr>
                <w:bCs/>
                <w:b/>
              </w:rPr>
              <w:t xml:space="preserve">18,7</w:t>
            </w:r>
          </w:p>
        </w:tc>
        <w:tc>
          <w:tcPr/>
          <w:p>
            <w:pPr>
              <w:pStyle w:val="Compact"/>
              <w:jc w:val="left"/>
            </w:pPr>
            <w:r>
              <w:rPr>
                <w:bCs/>
                <w:b/>
              </w:rPr>
              <w:t xml:space="preserve">1,48</w:t>
            </w:r>
          </w:p>
        </w:tc>
      </w:tr>
      <w:tr>
        <w:tc>
          <w:tcPr/>
          <w:p>
            <w:pPr>
              <w:pStyle w:val="Compact"/>
              <w:jc w:val="left"/>
            </w:pPr>
            <w:r>
              <w:rPr>
                <w:bCs/>
                <w:b/>
              </w:rPr>
              <w:t xml:space="preserve">Tổng 2025</w:t>
            </w:r>
          </w:p>
        </w:tc>
        <w:tc>
          <w:tcPr/>
          <w:p>
            <w:pPr>
              <w:pStyle w:val="Compact"/>
              <w:jc w:val="left"/>
            </w:pPr>
            <w:r>
              <w:t xml:space="preserve">—</w:t>
            </w:r>
          </w:p>
        </w:tc>
        <w:tc>
          <w:tcPr/>
          <w:p>
            <w:pPr>
              <w:pStyle w:val="Compact"/>
              <w:jc w:val="left"/>
            </w:pPr>
            <w:r>
              <w:t xml:space="preserve">—</w:t>
            </w:r>
          </w:p>
        </w:tc>
        <w:tc>
          <w:tcPr/>
          <w:p>
            <w:pPr>
              <w:pStyle w:val="Compact"/>
              <w:jc w:val="left"/>
            </w:pPr>
            <w:r>
              <w:rPr>
                <w:bCs/>
                <w:b/>
              </w:rPr>
              <w:t xml:space="preserve">17.107</w:t>
            </w:r>
          </w:p>
        </w:tc>
        <w:tc>
          <w:tcPr/>
          <w:p>
            <w:pPr>
              <w:pStyle w:val="Compact"/>
              <w:jc w:val="left"/>
            </w:pPr>
            <w:r>
              <w:rPr>
                <w:bCs/>
                <w:b/>
              </w:rPr>
              <w:t xml:space="preserve">3,8</w:t>
            </w:r>
          </w:p>
        </w:tc>
        <w:tc>
          <w:tcPr/>
          <w:p>
            <w:pPr>
              <w:pStyle w:val="Compact"/>
              <w:jc w:val="left"/>
            </w:pPr>
            <w:r>
              <w:rPr>
                <w:bCs/>
                <w:b/>
              </w:rPr>
              <w:t xml:space="preserve">2,9</w:t>
            </w:r>
          </w:p>
        </w:tc>
        <w:tc>
          <w:tcPr/>
          <w:p>
            <w:pPr>
              <w:pStyle w:val="Compact"/>
              <w:jc w:val="left"/>
            </w:pPr>
            <w:r>
              <w:rPr>
                <w:bCs/>
                <w:b/>
              </w:rPr>
              <w:t xml:space="preserve">5,4</w:t>
            </w:r>
          </w:p>
        </w:tc>
        <w:tc>
          <w:tcPr/>
          <w:p>
            <w:pPr>
              <w:pStyle w:val="Compact"/>
              <w:jc w:val="left"/>
            </w:pPr>
            <w:r>
              <w:rPr>
                <w:bCs/>
                <w:b/>
              </w:rPr>
              <w:t xml:space="preserve">44,2</w:t>
            </w:r>
          </w:p>
        </w:tc>
        <w:tc>
          <w:tcPr/>
          <w:p>
            <w:pPr>
              <w:pStyle w:val="Compact"/>
              <w:jc w:val="left"/>
            </w:pPr>
            <w:r>
              <w:rPr>
                <w:bCs/>
                <w:b/>
              </w:rPr>
              <w:t xml:space="preserve">0,90</w:t>
            </w:r>
          </w:p>
        </w:tc>
      </w:tr>
    </w:tbl>
    <w:p>
      <w:pPr>
        <w:pStyle w:val="BodyText"/>
      </w:pPr>
      <w:r>
        <w:rPr>
          <w:iCs/>
          <w:i/>
        </w:rPr>
        <w:t xml:space="preserve">Ghi chú: ¹Nepal 2025 (NPL, n=1.740), schema BREADY chưa thống nhất nên các chỉ số FSTS, FDI, R&amp;D, Website và sd log để n/a và được loại khỏi mọi trung bình có trọng số của hàng tổng; do đó hàng tổng cột n_firms phản ánh đầy đủ 17.107 doanh nghiệp (khớp với Mục 1.1 mục §2.1–§2.2 chuyên đề), trong khi các cột chỉ số trung bình được tính trên 13 nước có dữ liệu đầy đủ (n=15.367). ²Kiribati 2025: Lower Middle Income; viện trợ AUS/NZ ~30% GDP.</w:t>
      </w:r>
    </w:p>
    <w:p>
      <w:pPr>
        <w:pStyle w:val="BodyText"/>
      </w:pPr>
      <w:r>
        <w:rPr>
          <w:bCs/>
          <w:b/>
        </w:rPr>
        <w:t xml:space="preserve">Bảy phát hiện</w:t>
      </w:r>
      <w:r>
        <w:t xml:space="preserve">: (1) IND FSTS sụt 5 đpt (schema effect); (2) THA</w:t>
      </w:r>
      <w:r>
        <w:t xml:space="preserve"> </w:t>
      </w:r>
      <w:r>
        <w:t xml:space="preserve">“</w:t>
      </w:r>
      <w:r>
        <w:t xml:space="preserve">digital up, exports down</w:t>
      </w:r>
      <w:r>
        <w:t xml:space="preserve">”</w:t>
      </w:r>
      <w:r>
        <w:t xml:space="preserve">; (3) Fiji website 74,8% &gt; Singapore (digital leapfrog); (4) Vùng Vịnh + Brunei resource-driven Advanced confirmed; (5) R&amp;D schema-induced overestimation; (6) 2025 wave validation sample CĐ2;</w:t>
      </w:r>
      <w:r>
        <w:t xml:space="preserve"> </w:t>
      </w:r>
      <w:r>
        <w:rPr>
          <w:bCs/>
          <w:b/>
        </w:rPr>
        <w:t xml:space="preserve">(7) Kiribati extreme (FSTS 1,03%, FDI 0,7%, website 18,7%) đối lập với Fiji digital leapfrog. Bằng chứng dị biệt SIDS rõ rệt:</w:t>
      </w:r>
      <w:r>
        <w:rPr>
          <w:bCs/>
          <w:b/>
        </w:rPr>
        <w:t xml:space="preserve"> </w:t>
      </w:r>
      <w:r>
        <w:rPr>
          <w:bCs/>
          <w:b/>
        </w:rPr>
        <w:t xml:space="preserve">“</w:t>
      </w:r>
      <w:r>
        <w:rPr>
          <w:bCs/>
          <w:b/>
        </w:rPr>
        <w:t xml:space="preserve">high-digital</w:t>
      </w:r>
      <w:r>
        <w:rPr>
          <w:bCs/>
          <w:b/>
        </w:rPr>
        <w:t xml:space="preserve">”</w:t>
      </w:r>
      <w:r>
        <w:rPr>
          <w:bCs/>
          <w:b/>
        </w:rPr>
        <w:t xml:space="preserve"> </w:t>
      </w:r>
      <w:r>
        <w:rPr>
          <w:bCs/>
          <w:b/>
        </w:rPr>
        <w:t xml:space="preserve">(FJI, MDV) vs</w:t>
      </w:r>
      <w:r>
        <w:rPr>
          <w:bCs/>
          <w:b/>
        </w:rPr>
        <w:t xml:space="preserve"> </w:t>
      </w:r>
      <w:r>
        <w:rPr>
          <w:bCs/>
          <w:b/>
        </w:rPr>
        <w:t xml:space="preserve">“</w:t>
      </w:r>
      <w:r>
        <w:rPr>
          <w:bCs/>
          <w:b/>
        </w:rPr>
        <w:t xml:space="preserve">isolated rural</w:t>
      </w:r>
      <w:r>
        <w:rPr>
          <w:bCs/>
          <w:b/>
        </w:rPr>
        <w:t xml:space="preserve">”</w:t>
      </w:r>
      <w:r>
        <w:rPr>
          <w:bCs/>
          <w:b/>
        </w:rPr>
        <w:t xml:space="preserve"> </w:t>
      </w:r>
      <w:r>
        <w:rPr>
          <w:bCs/>
          <w:b/>
        </w:rPr>
        <w:t xml:space="preserve">(KIR). CĐ2 cần tách 2 phân nhóm con SIDS.</w:t>
      </w:r>
    </w:p>
    <w:p>
      <w:pPr>
        <w:pStyle w:val="BodyText"/>
      </w:pPr>
      <w:r>
        <w:rPr>
          <w:bCs/>
          <w:b/>
        </w:rPr>
        <w:t xml:space="preserve">Bảy hàm ý cho CĐ2</w:t>
      </w:r>
      <w:r>
        <w:t xml:space="preserve">: (a) 2025 validation test bed;</w:t>
      </w:r>
      <w:r>
        <w:t xml:space="preserve"> </w:t>
      </w:r>
      <w:r>
        <w:rPr>
          <w:bCs/>
          <w:b/>
        </w:rPr>
        <w:t xml:space="preserve">(b) Schema FE PostBREADY2024 enhanced với anchor model</w:t>
      </w:r>
      <w:r>
        <w:t xml:space="preserve"> </w:t>
      </w:r>
      <w:r>
        <w:rPr>
          <w:iCs/>
          <w:i/>
        </w:rPr>
        <w:t xml:space="preserve">(chi tiết §2.3.1.11)</w:t>
      </w:r>
      <w:r>
        <w:t xml:space="preserve">; (c) Advanced sub-grouping test 11 quốc gia; (d) SIDS digital leapfrog evidence cho H6, phân biệt</w:t>
      </w:r>
      <w:r>
        <w:t xml:space="preserve"> </w:t>
      </w:r>
      <w:r>
        <w:rPr>
          <w:bCs/>
          <w:b/>
        </w:rPr>
        <w:t xml:space="preserve">Tier-1</w:t>
      </w:r>
      <w:r>
        <w:t xml:space="preserve"> </w:t>
      </w:r>
      <w:r>
        <w:t xml:space="preserve">(website saturation, đã bão hòa) vs</w:t>
      </w:r>
      <w:r>
        <w:t xml:space="preserve"> </w:t>
      </w:r>
      <w:r>
        <w:rPr>
          <w:bCs/>
          <w:b/>
        </w:rPr>
        <w:t xml:space="preserve">Tier-2</w:t>
      </w:r>
      <w:r>
        <w:t xml:space="preserve"> </w:t>
      </w:r>
      <w:r>
        <w:t xml:space="preserve">(transformation, đang phát triển); (e) Two-wave panel cho 6 nước; (f) tách phân nhóm con SIDS (</w:t>
      </w:r>
      <w:r>
        <w:t xml:space="preserve">“</w:t>
      </w:r>
      <w:r>
        <w:t xml:space="preserve">high-digital</w:t>
      </w:r>
      <w:r>
        <w:t xml:space="preserve">”</w:t>
      </w:r>
      <w:r>
        <w:t xml:space="preserve"> </w:t>
      </w:r>
      <w:r>
        <w:t xml:space="preserve">vs</w:t>
      </w:r>
      <w:r>
        <w:t xml:space="preserve"> </w:t>
      </w:r>
      <w:r>
        <w:t xml:space="preserve">“</w:t>
      </w:r>
      <w:r>
        <w:t xml:space="preserve">isolated</w:t>
      </w:r>
      <w:r>
        <w:t xml:space="preserve">”</w:t>
      </w:r>
      <w:r>
        <w:t xml:space="preserve">), phương án mở rộng tùy chọn từ 8 lên 9 phân nhóm con (xem Mục 4.7(b)); (g) Tách 2025 thành</w:t>
      </w:r>
      <w:r>
        <w:t xml:space="preserve"> </w:t>
      </w:r>
      <w:r>
        <w:rPr>
          <w:bCs/>
          <w:b/>
        </w:rPr>
        <w:t xml:space="preserve">“</w:t>
      </w:r>
      <w:r>
        <w:rPr>
          <w:bCs/>
          <w:b/>
        </w:rPr>
        <w:t xml:space="preserve">Panel hậu đại dịch độc lập</w:t>
      </w:r>
      <w:r>
        <w:rPr>
          <w:bCs/>
          <w:b/>
        </w:rPr>
        <w:t xml:space="preserve">”</w:t>
      </w:r>
      <w:r>
        <w:t xml:space="preserve"> </w:t>
      </w:r>
      <w:r>
        <w:rPr>
          <w:iCs/>
          <w:i/>
        </w:rPr>
        <w:t xml:space="preserve">(chi tiết §2.3.1.11)</w:t>
      </w:r>
      <w:r>
        <w:t xml:space="preserve">.</w:t>
      </w:r>
    </w:p>
    <w:bookmarkEnd w:id="75"/>
    <w:bookmarkStart w:id="76" w:name="X064d699a5a1c4a05177a44dfa39cecfdbf09aba"/>
    <w:p>
      <w:pPr>
        <w:pStyle w:val="Heading5"/>
      </w:pPr>
      <w:r>
        <w:t xml:space="preserve">2.3.1.11 Cô lập đứt gãy schema BREADY 2025 — 3 đề xuất phương pháp luận</w:t>
      </w:r>
    </w:p>
    <w:p>
      <w:pPr>
        <w:pStyle w:val="FirstParagraph"/>
      </w:pPr>
      <w:r>
        <w:t xml:space="preserve">Đợt 2025 (n=17.107 firms,</w:t>
      </w:r>
      <w:r>
        <w:t xml:space="preserve"> </w:t>
      </w:r>
      <w:r>
        <w:rPr>
          <w:bCs/>
          <w:b/>
        </w:rPr>
        <w:t xml:space="preserve">16,9% pool</w:t>
      </w:r>
      <w:r>
        <w:t xml:space="preserve">) sử dụng schema mới BREADY khác bản hỏi cũ, gây cú sốc phi lý: IND FSTS rơi 7,7%→2,7% (xem §2.3.1.10), R&amp;D nhiều nước tăng vọt do</w:t>
      </w:r>
      <w:r>
        <w:t xml:space="preserve"> </w:t>
      </w:r>
      <w:r>
        <w:rPr>
          <w:bCs/>
          <w:b/>
        </w:rPr>
        <w:t xml:space="preserve">hiệu ứng bảng hỏi (questionnaire effect)</w:t>
      </w:r>
      <w:r>
        <w:t xml:space="preserve"> </w:t>
      </w:r>
      <w:r>
        <w:t xml:space="preserve">chứ không phải thực tế. Như tác giả lưu ý trong ghi chú phân tích nội bộ (2026), đứt gãy schema BREADY 2025 đe dọa trực tiếp tính liên tục của phân tích chuỗi thời gian; mô hình kiểm tra điểm uốn có thể cho kết luận sai lệch nếu không được xử lý. Nghiên cứu sinh đã cảnh báo trong §2.3.1.10 (mục 5: R&amp;D schema-induced overestimation) nhưng cần làm sâu hơn với 3 đề xuất phương pháp luận.</w:t>
      </w:r>
    </w:p>
    <w:p>
      <w:pPr>
        <w:pStyle w:val="BodyText"/>
      </w:pPr>
      <w:r>
        <w:rPr>
          <w:bCs/>
          <w:b/>
        </w:rPr>
        <w:t xml:space="preserve">a) Đề xuất 3a — Biến giả</w:t>
      </w:r>
      <w:r>
        <w:rPr>
          <w:bCs/>
          <w:b/>
        </w:rPr>
        <w:t xml:space="preserve"> </w:t>
      </w:r>
      <w:r>
        <w:rPr>
          <w:rStyle w:val="VerbatimChar"/>
          <w:bCs/>
          <w:b/>
        </w:rPr>
        <w:t xml:space="preserve">Post_BREADY_2024</w:t>
      </w:r>
      <w:r>
        <w:rPr>
          <w:bCs/>
          <w:b/>
        </w:rPr>
        <w:t xml:space="preserve"> </w:t>
      </w:r>
      <w:r>
        <w:rPr>
          <w:bCs/>
          <w:b/>
        </w:rPr>
        <w:t xml:space="preserve">trong mọi spec tổng gộp</w:t>
      </w:r>
    </w:p>
    <w:p>
      <w:pPr>
        <w:pStyle w:val="BodyText"/>
      </w:pPr>
      <w:r>
        <w:t xml:space="preserve">Khai báo biến giả</w:t>
      </w:r>
      <w:r>
        <w:t xml:space="preserve"> </w:t>
      </w:r>
      <w:r>
        <w:rPr>
          <w:rStyle w:val="VerbatimChar"/>
        </w:rPr>
        <w:t xml:space="preserve">Post_BREADY_2024</w:t>
      </w:r>
      <w:r>
        <w:t xml:space="preserve"> </w:t>
      </w:r>
      <w:r>
        <w:t xml:space="preserve">= 1 cho mọi observation thuộc đợt khảo sát 2025+ (BREADY schema), = 0 cho 2009–2024 (PICS3 + Standardized + early BREADY 2018-2024). Biến giả này:</w:t>
      </w:r>
    </w:p>
    <w:p>
      <w:pPr>
        <w:numPr>
          <w:ilvl w:val="0"/>
          <w:numId w:val="1014"/>
        </w:numPr>
        <w:pStyle w:val="Compact"/>
      </w:pPr>
      <w:r>
        <w:rPr>
          <w:bCs/>
          <w:b/>
        </w:rPr>
        <w:t xml:space="preserve">Hấp thụ schema effect tĩnh</w:t>
      </w:r>
      <w:r>
        <w:t xml:space="preserve">: lấy out mức trung bình của các thay đổi đo lường giữa 2 generation bảng hỏi (e.g., IND FSTS 7,7%→2,7% có thể một phần do BREADY questions hỏi rõ hơn về</w:t>
      </w:r>
      <w:r>
        <w:t xml:space="preserve"> </w:t>
      </w:r>
      <w:r>
        <w:t xml:space="preserve">“</w:t>
      </w:r>
      <w:r>
        <w:t xml:space="preserve">doanh thu xuất khẩu trực tiếp</w:t>
      </w:r>
      <w:r>
        <w:t xml:space="preserve">”</w:t>
      </w:r>
      <w:r>
        <w:t xml:space="preserve"> </w:t>
      </w:r>
      <w:r>
        <w:t xml:space="preserve">vs PICS3 hỏi tổng quát hơn).</w:t>
      </w:r>
    </w:p>
    <w:p>
      <w:pPr>
        <w:numPr>
          <w:ilvl w:val="0"/>
          <w:numId w:val="1014"/>
        </w:numPr>
        <w:pStyle w:val="Compact"/>
      </w:pPr>
      <w:r>
        <w:rPr>
          <w:bCs/>
          <w:b/>
        </w:rPr>
        <w:t xml:space="preserve">Cảnh báo phương pháp luận</w:t>
      </w:r>
      <w:r>
        <w:t xml:space="preserve">: biến giả không phải giải pháp vạn năng. Nó chỉ hấp thụ tác động tĩnh (mức trung bình) chứ không hiệu chỉnh được thay đổi phương sai do schema. Vì vậy cần đi cùng đề xuất 3b (anchor model) để kiểm tra độ vững.</w:t>
      </w:r>
    </w:p>
    <w:p>
      <w:pPr>
        <w:numPr>
          <w:ilvl w:val="0"/>
          <w:numId w:val="1014"/>
        </w:numPr>
        <w:pStyle w:val="Compact"/>
      </w:pPr>
      <w:r>
        <w:rPr>
          <w:bCs/>
          <w:b/>
        </w:rPr>
        <w:t xml:space="preserve">Triển khai</w:t>
      </w:r>
      <w:r>
        <w:t xml:space="preserve">: thêm</w:t>
      </w:r>
      <w:r>
        <w:t xml:space="preserve"> </w:t>
      </w:r>
      <w:r>
        <w:rPr>
          <w:rStyle w:val="VerbatimChar"/>
        </w:rPr>
        <w:t xml:space="preserve">Post_BREADY_2024</w:t>
      </w:r>
      <w:r>
        <w:t xml:space="preserve"> </w:t>
      </w:r>
      <w:r>
        <w:t xml:space="preserve">vào Spec 1 (full pool, 101.185 firms) và Spec 2 (2018-2025, ~50.000 firms) cho CĐ2.</w:t>
      </w:r>
    </w:p>
    <w:p>
      <w:pPr>
        <w:pStyle w:val="FirstParagraph"/>
      </w:pPr>
      <w:r>
        <w:rPr>
          <w:bCs/>
          <w:b/>
        </w:rPr>
        <w:t xml:space="preserve">b) Đề xuất 3b — Mô hình neo (anchor model)</w:t>
      </w:r>
    </w:p>
    <w:p>
      <w:pPr>
        <w:pStyle w:val="BodyText"/>
      </w:pPr>
      <w:r>
        <w:t xml:space="preserve">Quy trình 3 bước:</w:t>
      </w:r>
    </w:p>
    <w:p>
      <w:pPr>
        <w:numPr>
          <w:ilvl w:val="0"/>
          <w:numId w:val="1015"/>
        </w:numPr>
      </w:pPr>
      <w:r>
        <w:t xml:space="preserve">Chạy hồi quy với data chỉ đến 2024 (n≈84.000 firms, 13 đợt khảo sát 2009-2024) → có</w:t>
      </w:r>
      <w:r>
        <w:t xml:space="preserve"> </w:t>
      </w:r>
      <w:r>
        <w:rPr>
          <w:bCs/>
          <w:b/>
        </w:rPr>
        <w:t xml:space="preserve">bộ hệ số</w:t>
      </w:r>
      <w:r>
        <w:rPr>
          <w:bCs/>
          <w:b/>
        </w:rPr>
        <w:t xml:space="preserve"> </w:t>
      </w:r>
      <w:r>
        <w:rPr>
          <w:bCs/>
          <w:b/>
        </w:rPr>
        <w:t xml:space="preserve">“</w:t>
      </w:r>
      <w:r>
        <w:rPr>
          <w:bCs/>
          <w:b/>
        </w:rPr>
        <w:t xml:space="preserve">neo</w:t>
      </w:r>
      <w:r>
        <w:rPr>
          <w:bCs/>
          <w:b/>
        </w:rPr>
        <w:t xml:space="preserve">”</w:t>
      </w:r>
      <w:r>
        <w:t xml:space="preserve"> </w:t>
      </w:r>
      <w:r>
        <w:t xml:space="preserve">(anchor coefficients) cho FSTS, FSTS², TCI, DAI và các tương tác.</w:t>
      </w:r>
    </w:p>
    <w:p>
      <w:pPr>
        <w:numPr>
          <w:ilvl w:val="0"/>
          <w:numId w:val="1015"/>
        </w:numPr>
      </w:pPr>
      <w:r>
        <w:rPr>
          <w:bCs/>
          <w:b/>
        </w:rPr>
        <w:t xml:space="preserve">Khóa hệ số</w:t>
      </w:r>
      <w:r>
        <w:t xml:space="preserve"> </w:t>
      </w:r>
      <w:r>
        <w:t xml:space="preserve">từ bước (i). Trong R:</w:t>
      </w:r>
      <w:r>
        <w:t xml:space="preserve"> </w:t>
      </w:r>
      <w:r>
        <w:rPr>
          <w:rStyle w:val="VerbatimChar"/>
        </w:rPr>
        <w:t xml:space="preserve">glmer(... offset = X1 * beta1_anchor + X2 * beta2_anchor, data=full_pool_with_2025)</w:t>
      </w:r>
      <w:r>
        <w:t xml:space="preserve">.</w:t>
      </w:r>
    </w:p>
    <w:p>
      <w:pPr>
        <w:numPr>
          <w:ilvl w:val="0"/>
          <w:numId w:val="1015"/>
        </w:numPr>
      </w:pPr>
      <w:r>
        <w:t xml:space="preserve">Re-run hồi quy với data đầy đủ 2009-2025 (n=101.185), so sánh:</w:t>
      </w:r>
    </w:p>
    <w:p>
      <w:pPr>
        <w:numPr>
          <w:ilvl w:val="0"/>
          <w:numId w:val="1016"/>
        </w:numPr>
        <w:pStyle w:val="Compact"/>
      </w:pPr>
      <w:r>
        <w:t xml:space="preserve">Coefficient stability test (Wald test, Chow test): hệ số FSTS, FSTS², TCI, DAI có thay đổi significantly khi thêm 2025 không?</w:t>
      </w:r>
    </w:p>
    <w:p>
      <w:pPr>
        <w:numPr>
          <w:ilvl w:val="0"/>
          <w:numId w:val="1016"/>
        </w:numPr>
        <w:pStyle w:val="Compact"/>
      </w:pPr>
      <w:r>
        <w:t xml:space="preserve">Likelihood ratio test giữa 2 mô hình: Δ AIC, Δ BIC.</w:t>
      </w:r>
    </w:p>
    <w:p>
      <w:pPr>
        <w:numPr>
          <w:ilvl w:val="0"/>
          <w:numId w:val="1016"/>
        </w:numPr>
        <w:pStyle w:val="Compact"/>
      </w:pPr>
      <w:r>
        <w:t xml:space="preserve">Coefficient ratio test: nếu</w:t>
      </w:r>
      <w:r>
        <w:t xml:space="preserve"> </w:t>
      </w:r>
      <w:r>
        <w:rPr>
          <w:rStyle w:val="VerbatimChar"/>
        </w:rPr>
        <w:t xml:space="preserve">beta_2025 / beta_anchor &gt; 1.5x</w:t>
      </w:r>
      <w:r>
        <w:t xml:space="preserve"> </w:t>
      </w:r>
      <w:r>
        <w:t xml:space="preserve">hoặc</w:t>
      </w:r>
      <w:r>
        <w:t xml:space="preserve"> </w:t>
      </w:r>
      <w:r>
        <w:rPr>
          <w:rStyle w:val="VerbatimChar"/>
        </w:rPr>
        <w:t xml:space="preserve">&lt; 0.67x</w:t>
      </w:r>
      <w:r>
        <w:t xml:space="preserve"> </w:t>
      </w:r>
      <w:r>
        <w:t xml:space="preserve">→ schema effect significant.</w:t>
      </w:r>
    </w:p>
    <w:p>
      <w:pPr>
        <w:pStyle w:val="FirstParagraph"/>
      </w:pPr>
      <w:r>
        <w:rPr>
          <w:bCs/>
          <w:b/>
        </w:rPr>
        <w:t xml:space="preserve">Mục đích</w:t>
      </w:r>
      <w:r>
        <w:t xml:space="preserve">: kiểm tra</w:t>
      </w:r>
      <w:r>
        <w:t xml:space="preserve"> </w:t>
      </w:r>
      <w:r>
        <w:t xml:space="preserve">“</w:t>
      </w:r>
      <w:r>
        <w:t xml:space="preserve">cấu trúc bảng hỏi mới có làm đảo chiều ý nghĩa thống kê cốt lõi hay không</w:t>
      </w:r>
      <w:r>
        <w:t xml:space="preserve">”</w:t>
      </w:r>
      <w:r>
        <w:t xml:space="preserve">. Đây là</w:t>
      </w:r>
      <w:r>
        <w:t xml:space="preserve"> </w:t>
      </w:r>
      <w:r>
        <w:rPr>
          <w:bCs/>
          <w:b/>
        </w:rPr>
        <w:t xml:space="preserve">robustness check thứ 6 cho CĐ2</w:t>
      </w:r>
      <w:r>
        <w:t xml:space="preserve"> </w:t>
      </w:r>
      <w:r>
        <w:t xml:space="preserve">(sau Manufacturing-only, ICT-excluded, Tourism-separated SIDS, Construction-tested Gulf, Mining-excluded resource).</w:t>
      </w:r>
    </w:p>
    <w:p>
      <w:pPr>
        <w:pStyle w:val="BodyText"/>
      </w:pPr>
      <w:r>
        <w:rPr>
          <w:bCs/>
          <w:b/>
        </w:rPr>
        <w:t xml:space="preserve">c) Đề xuất 3c — Tách 2025 thành</w:t>
      </w:r>
      <w:r>
        <w:rPr>
          <w:bCs/>
          <w:b/>
        </w:rPr>
        <w:t xml:space="preserve"> </w:t>
      </w:r>
      <w:r>
        <w:rPr>
          <w:bCs/>
          <w:b/>
        </w:rPr>
        <w:t xml:space="preserve">“</w:t>
      </w:r>
      <w:r>
        <w:rPr>
          <w:bCs/>
          <w:b/>
        </w:rPr>
        <w:t xml:space="preserve">Panel hậu đại dịch độc lập</w:t>
      </w:r>
      <w:r>
        <w:rPr>
          <w:bCs/>
          <w:b/>
        </w:rPr>
        <w:t xml:space="preserve">”</w:t>
      </w:r>
    </w:p>
    <w:p>
      <w:pPr>
        <w:pStyle w:val="BodyText"/>
      </w:pPr>
      <w:r>
        <w:t xml:space="preserve">Thay vì cố ép 2025 vào đường xu hướng lịch sử, dành riêng một sub-section trong CĐ2 (đề xuất §X.Y trong §2.3.3 mô hình) để xử lý 2025 như</w:t>
      </w:r>
      <w:r>
        <w:t xml:space="preserve"> </w:t>
      </w:r>
      <w:r>
        <w:rPr>
          <w:bCs/>
          <w:b/>
        </w:rPr>
        <w:t xml:space="preserve">tập mẫu xác thực cho kỷ nguyên hậu COVID + AI</w:t>
      </w:r>
      <w:r>
        <w:t xml:space="preserve">. Câu hỏi nghiên cứu mới:</w:t>
      </w:r>
      <w:r>
        <w:t xml:space="preserve"> </w:t>
      </w:r>
      <w:r>
        <w:rPr>
          <w:iCs/>
          <w:i/>
        </w:rPr>
        <w:t xml:space="preserve">“</w:t>
      </w:r>
      <w:r>
        <w:rPr>
          <w:iCs/>
          <w:i/>
        </w:rPr>
        <w:t xml:space="preserve">Quy luật thể chế và U-curve giai đoạn 2009-2024 có còn hiệu lực trong</w:t>
      </w:r>
      <w:r>
        <w:rPr>
          <w:iCs/>
          <w:i/>
        </w:rPr>
        <w:t xml:space="preserve"> </w:t>
      </w:r>
      <w:r>
        <w:rPr>
          <w:iCs/>
          <w:i/>
        </w:rPr>
        <w:t xml:space="preserve">‘</w:t>
      </w:r>
      <w:r>
        <w:rPr>
          <w:iCs/>
          <w:i/>
        </w:rPr>
        <w:t xml:space="preserve">trạng thái bình thường mới</w:t>
      </w:r>
      <w:r>
        <w:rPr>
          <w:iCs/>
          <w:i/>
        </w:rPr>
        <w:t xml:space="preserve">’</w:t>
      </w:r>
      <w:r>
        <w:rPr>
          <w:iCs/>
          <w:i/>
        </w:rPr>
        <w:t xml:space="preserve"> </w:t>
      </w:r>
      <w:r>
        <w:rPr>
          <w:iCs/>
          <w:i/>
        </w:rPr>
        <w:t xml:space="preserve">(new normal) hậu COVID + AI bùng nổ?</w:t>
      </w:r>
      <w:r>
        <w:rPr>
          <w:iCs/>
          <w:i/>
        </w:rPr>
        <w:t xml:space="preserve">”</w:t>
      </w:r>
    </w:p>
    <w:p>
      <w:pPr>
        <w:pStyle w:val="BodyText"/>
      </w:pPr>
      <w:r>
        <w:t xml:space="preserve">Tiến trình:</w:t>
      </w:r>
      <w:r>
        <w:t xml:space="preserve"> </w:t>
      </w:r>
      <w:r>
        <w:t xml:space="preserve">-</w:t>
      </w:r>
      <w:r>
        <w:t xml:space="preserve"> </w:t>
      </w:r>
      <w:r>
        <w:rPr>
          <w:bCs/>
          <w:b/>
        </w:rPr>
        <w:t xml:space="preserve">Bước 1</w:t>
      </w:r>
      <w:r>
        <w:t xml:space="preserve">: Chạy mô hình chính trên data 2009-2024, báo cáo H1-H6 + H7 + Lin-Mehlum tests.</w:t>
      </w:r>
      <w:r>
        <w:t xml:space="preserve"> </w:t>
      </w:r>
      <w:r>
        <w:t xml:space="preserve">-</w:t>
      </w:r>
      <w:r>
        <w:t xml:space="preserve"> </w:t>
      </w:r>
      <w:r>
        <w:rPr>
          <w:bCs/>
          <w:b/>
        </w:rPr>
        <w:t xml:space="preserve">Bước 2</w:t>
      </w:r>
      <w:r>
        <w:t xml:space="preserve">: Test cùng mô hình trên data 2025 only (n=17.107) như</w:t>
      </w:r>
      <w:r>
        <w:t xml:space="preserve"> </w:t>
      </w:r>
      <w:r>
        <w:rPr>
          <w:bCs/>
          <w:b/>
        </w:rPr>
        <w:t xml:space="preserve">out-of-sample validation panel</w:t>
      </w:r>
      <w:r>
        <w:t xml:space="preserve">. Ghi rõ</w:t>
      </w:r>
      <w:r>
        <w:t xml:space="preserve"> </w:t>
      </w:r>
      <w:r>
        <w:t xml:space="preserve">“</w:t>
      </w:r>
      <w:r>
        <w:t xml:space="preserve">post-pandemic + AI era panel</w:t>
      </w:r>
      <w:r>
        <w:t xml:space="preserve">”</w:t>
      </w:r>
      <w:r>
        <w:t xml:space="preserve"> </w:t>
      </w:r>
      <w:r>
        <w:t xml:space="preserve">(post-COVID 2020-2022 + AI surge 2023-2025).</w:t>
      </w:r>
      <w:r>
        <w:t xml:space="preserve"> </w:t>
      </w:r>
      <w:r>
        <w:t xml:space="preserve">-</w:t>
      </w:r>
      <w:r>
        <w:t xml:space="preserve"> </w:t>
      </w:r>
      <w:r>
        <w:rPr>
          <w:bCs/>
          <w:b/>
        </w:rPr>
        <w:t xml:space="preserve">Bước 3</w:t>
      </w:r>
      <w:r>
        <w:t xml:space="preserve">: Báo cáo:</w:t>
      </w:r>
      <w:r>
        <w:t xml:space="preserve"> </w:t>
      </w:r>
      <w:r>
        <w:t xml:space="preserve">- Hệ số nào giữ stability (validation passed)</w:t>
      </w:r>
      <w:r>
        <w:t xml:space="preserve"> </w:t>
      </w:r>
      <w:r>
        <w:t xml:space="preserve">- Hệ số nào thay đổi (validation failed → discuss as evidence của paradigm shift hậu COVID + AI)</w:t>
      </w:r>
      <w:r>
        <w:t xml:space="preserve"> </w:t>
      </w:r>
      <w:r>
        <w:t xml:space="preserve">- Effect size differences và policy implications.</w:t>
      </w:r>
    </w:p>
    <w:p>
      <w:pPr>
        <w:pStyle w:val="BodyText"/>
      </w:pPr>
      <w:r>
        <w:t xml:space="preserve">Cách tiếp cận này biến một rủi ro dữ liệu (đứt gãy schema) thành một chương phân tích hướng tới tương lai có giá trị (tác giả, ghi chú phân tích nội bộ, 2026).</w:t>
      </w:r>
    </w:p>
    <w:p>
      <w:pPr>
        <w:pStyle w:val="BodyText"/>
      </w:pPr>
      <w:r>
        <w:rPr>
          <w:bCs/>
          <w:b/>
        </w:rPr>
        <w:t xml:space="preserve">d) Liên kết với §2.3.3 (yếu tố giải thích) và §2.4.3 (hàm ý CĐ2)</w:t>
      </w:r>
    </w:p>
    <w:p>
      <w:pPr>
        <w:pStyle w:val="BodyText"/>
      </w:pPr>
      <w:r>
        <w:t xml:space="preserve">3 đề xuất 3a-3b-3c kết hợp tạo thành</w:t>
      </w:r>
      <w:r>
        <w:t xml:space="preserve"> </w:t>
      </w:r>
      <w:r>
        <w:rPr>
          <w:bCs/>
          <w:b/>
        </w:rPr>
        <w:t xml:space="preserve">hệ thống cô lập triple-defense</w:t>
      </w:r>
      <w:r>
        <w:t xml:space="preserve"> </w:t>
      </w:r>
      <w:r>
        <w:t xml:space="preserve">chống đứt gãy schema 2025:</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Đề xuất</w:t>
            </w:r>
          </w:p>
        </w:tc>
        <w:tc>
          <w:tcPr/>
          <w:p>
            <w:pPr>
              <w:pStyle w:val="Compact"/>
              <w:jc w:val="left"/>
            </w:pPr>
            <w:r>
              <w:t xml:space="preserve">Tác dụng</w:t>
            </w:r>
          </w:p>
        </w:tc>
        <w:tc>
          <w:tcPr/>
          <w:p>
            <w:pPr>
              <w:pStyle w:val="Compact"/>
              <w:jc w:val="left"/>
            </w:pPr>
            <w:r>
              <w:t xml:space="preserve">Robustness check #</w:t>
            </w:r>
          </w:p>
        </w:tc>
        <w:tc>
          <w:tcPr/>
          <w:p>
            <w:pPr>
              <w:pStyle w:val="Compact"/>
              <w:jc w:val="left"/>
            </w:pPr>
            <w:r>
              <w:t xml:space="preserve">Liên kết</w:t>
            </w:r>
          </w:p>
        </w:tc>
      </w:tr>
      <w:tr>
        <w:tc>
          <w:tcPr/>
          <w:p>
            <w:pPr>
              <w:pStyle w:val="Compact"/>
              <w:jc w:val="left"/>
            </w:pPr>
            <w:r>
              <w:t xml:space="preserve">3a Biến giả Post_BREADY_2024</w:t>
            </w:r>
          </w:p>
        </w:tc>
        <w:tc>
          <w:tcPr/>
          <w:p>
            <w:pPr>
              <w:pStyle w:val="Compact"/>
              <w:jc w:val="left"/>
            </w:pPr>
            <w:r>
              <w:t xml:space="preserve">Hấp thụ schema effect tĩnh</w:t>
            </w:r>
          </w:p>
        </w:tc>
        <w:tc>
          <w:tcPr/>
          <w:p>
            <w:pPr>
              <w:pStyle w:val="Compact"/>
              <w:jc w:val="left"/>
            </w:pPr>
            <w:r>
              <w:t xml:space="preserve">(parametric correction)</w:t>
            </w:r>
          </w:p>
        </w:tc>
        <w:tc>
          <w:tcPr/>
          <w:p>
            <w:pPr>
              <w:pStyle w:val="Compact"/>
              <w:jc w:val="left"/>
            </w:pPr>
            <w:r>
              <w:t xml:space="preserve">Spec 1 + Spec 2</w:t>
            </w:r>
          </w:p>
        </w:tc>
      </w:tr>
      <w:tr>
        <w:tc>
          <w:tcPr/>
          <w:p>
            <w:pPr>
              <w:pStyle w:val="Compact"/>
              <w:jc w:val="left"/>
            </w:pPr>
            <w:r>
              <w:t xml:space="preserve">3b Anchor model</w:t>
            </w:r>
          </w:p>
        </w:tc>
        <w:tc>
          <w:tcPr/>
          <w:p>
            <w:pPr>
              <w:pStyle w:val="Compact"/>
              <w:jc w:val="left"/>
            </w:pPr>
            <w:r>
              <w:t xml:space="preserve">Test stability hệ số</w:t>
            </w:r>
          </w:p>
        </w:tc>
        <w:tc>
          <w:tcPr/>
          <w:p>
            <w:pPr>
              <w:pStyle w:val="Compact"/>
              <w:jc w:val="left"/>
            </w:pPr>
            <w:r>
              <w:t xml:space="preserve">#6 (sau Mfg/ICT/Tourism/Gulf/Mining)</w:t>
            </w:r>
          </w:p>
        </w:tc>
        <w:tc>
          <w:tcPr/>
          <w:p>
            <w:pPr>
              <w:pStyle w:val="Compact"/>
              <w:jc w:val="left"/>
            </w:pPr>
            <w:r>
              <w:t xml:space="preserve">CĐ2 robustness section</w:t>
            </w:r>
          </w:p>
        </w:tc>
      </w:tr>
      <w:tr>
        <w:tc>
          <w:tcPr/>
          <w:p>
            <w:pPr>
              <w:pStyle w:val="Compact"/>
              <w:jc w:val="left"/>
            </w:pPr>
            <w:r>
              <w:t xml:space="preserve">3c Panel hậu đại dịch độc lập</w:t>
            </w:r>
          </w:p>
        </w:tc>
        <w:tc>
          <w:tcPr/>
          <w:p>
            <w:pPr>
              <w:pStyle w:val="Compact"/>
              <w:jc w:val="left"/>
            </w:pPr>
            <w:r>
              <w:t xml:space="preserve">Out-of-sample validation hậu COVID+AI</w:t>
            </w:r>
          </w:p>
        </w:tc>
        <w:tc>
          <w:tcPr/>
          <w:p>
            <w:pPr>
              <w:pStyle w:val="Compact"/>
              <w:jc w:val="left"/>
            </w:pPr>
            <w:r>
              <w:t xml:space="preserve">#7 panel test</w:t>
            </w:r>
          </w:p>
        </w:tc>
        <w:tc>
          <w:tcPr/>
          <w:p>
            <w:pPr>
              <w:pStyle w:val="Compact"/>
              <w:jc w:val="left"/>
            </w:pPr>
            <w:r>
              <w:t xml:space="preserve">CĐ2 §X.Y dedicated section</w:t>
            </w:r>
          </w:p>
        </w:tc>
      </w:tr>
    </w:tbl>
    <w:p>
      <w:pPr>
        <w:pStyle w:val="BodyText"/>
      </w:pPr>
      <w:r>
        <w:t xml:space="preserve">Cả 3 đều là tiền đề cho mục §2.3.2–§2.4 chuyên đề §2.4.3.4 hàm ý cho CĐ2, robustness check section.</w:t>
      </w:r>
    </w:p>
    <w:p>
      <w:r>
        <w:pict>
          <v:rect style="width:0;height:1.5pt" o:hralign="center" o:hrstd="t" o:hr="t"/>
        </w:pict>
      </w:r>
    </w:p>
    <w:p>
      <w:pPr>
        <w:pStyle w:val="BlockText"/>
      </w:pPr>
      <w:r>
        <w:t xml:space="preserve">Tiếp nối</w:t>
      </w:r>
      <w:r>
        <w:t xml:space="preserve"> </w:t>
      </w:r>
      <w:r>
        <w:rPr>
          <w:rStyle w:val="VerbatimChar"/>
        </w:rPr>
        <w:t xml:space="preserve">thesis/14_cd1_part1_intro_theory_vi.md</w:t>
      </w:r>
      <w:r>
        <w:t xml:space="preserve"> </w:t>
      </w:r>
      <w:r>
        <w:t xml:space="preserve">và</w:t>
      </w:r>
      <w:r>
        <w:t xml:space="preserve"> </w:t>
      </w:r>
      <w:r>
        <w:rPr>
          <w:rStyle w:val="VerbatimChar"/>
        </w:rPr>
        <w:t xml:space="preserve">thesis/15_cd1_part2_findings_vi.md</w:t>
      </w:r>
      <w:r>
        <w:t xml:space="preserve">.</w:t>
      </w:r>
      <w:r>
        <w:t xml:space="preserve"> </w:t>
      </w:r>
      <w:r>
        <w:t xml:space="preserve">Bảng thuật ngữ Anh-Việt:</w:t>
      </w:r>
      <w:r>
        <w:t xml:space="preserve"> </w:t>
      </w:r>
      <w:r>
        <w:rPr>
          <w:rStyle w:val="VerbatimChar"/>
        </w:rPr>
        <w:t xml:space="preserve">thesis/09b_vn_term_glossary.md</w:t>
      </w:r>
      <w:r>
        <w:t xml:space="preserve">.</w:t>
      </w:r>
      <w:r>
        <w:t xml:space="preserve"> </w:t>
      </w:r>
      <w:r>
        <w:t xml:space="preserve">Tổng hợp Asia context:</w:t>
      </w:r>
      <w:r>
        <w:t xml:space="preserve"> </w:t>
      </w:r>
      <w:r>
        <w:rPr>
          <w:rStyle w:val="VerbatimChar"/>
        </w:rPr>
        <w:t xml:space="preserve">thesis/_asia_context_synthesis_2026.md</w:t>
      </w:r>
      <w:r>
        <w:t xml:space="preserve">.</w:t>
      </w:r>
      <w:r>
        <w:t xml:space="preserve"> </w:t>
      </w:r>
      <w:r>
        <w:t xml:space="preserve">Hình minh họa:</w:t>
      </w:r>
      <w:r>
        <w:t xml:space="preserve"> </w:t>
      </w:r>
      <w:r>
        <w:rPr>
          <w:rStyle w:val="VerbatimChar"/>
        </w:rPr>
        <w:t xml:space="preserve">thesis/figures/</w:t>
      </w:r>
      <w:r>
        <w:t xml:space="preserve"> </w:t>
      </w:r>
      <w:r>
        <w:t xml:space="preserve">(11 hình; chạy</w:t>
      </w:r>
      <w:r>
        <w:t xml:space="preserve"> </w:t>
      </w:r>
      <w:r>
        <w:rPr>
          <w:rStyle w:val="VerbatimChar"/>
        </w:rPr>
        <w:t xml:space="preserve">python3 generate_figures.py</w:t>
      </w:r>
      <w:r>
        <w:t xml:space="preserve">).</w:t>
      </w:r>
      <w:r>
        <w:t xml:space="preserve"> </w:t>
      </w:r>
      <w:r>
        <w:t xml:space="preserve">—</w:t>
      </w:r>
    </w:p>
    <w:bookmarkEnd w:id="76"/>
    <w:bookmarkEnd w:id="77"/>
    <w:bookmarkStart w:id="87" w:name="bảy-tiểu-cảnh-điển-hình"/>
    <w:p>
      <w:pPr>
        <w:pStyle w:val="Heading4"/>
      </w:pPr>
      <w:r>
        <w:t xml:space="preserve">2.3.2 Bảy tiểu cảnh điển hình</w:t>
      </w:r>
    </w:p>
    <w:bookmarkStart w:id="78" w:name="Xe8397d3c57d7466dc5cdf33105cff560c510b10"/>
    <w:p>
      <w:pPr>
        <w:pStyle w:val="Heading5"/>
      </w:pPr>
      <w:r>
        <w:t xml:space="preserve">2.3.2.1 Singapore (Advanced đổi mới sáng tạo dẫn dắt — innovation-driven, n=623, đợt 2023)</w:t>
      </w:r>
    </w:p>
    <w:p>
      <w:pPr>
        <w:pStyle w:val="FirstParagraph"/>
      </w:pPr>
      <w:r>
        <w:t xml:space="preserve">FSTS 7,1%; doanh nghiệp xuất khẩu 17,8%; website 66,1%; ISO 23,3%; R&amp;D 7,5%; FDI 31,5%. Độ lệch chuẩn log năng suất (sd log) là 1,03. Đây là</w:t>
      </w:r>
      <w:r>
        <w:t xml:space="preserve"> </w:t>
      </w:r>
      <w:r>
        <w:rPr>
          <w:bCs/>
          <w:b/>
        </w:rPr>
        <w:t xml:space="preserve">biên trên (upper boundary)</w:t>
      </w:r>
      <w:r>
        <w:t xml:space="preserve"> </w:t>
      </w:r>
      <w:r>
        <w:t xml:space="preserve">của nhóm Advanced đổi mới sáng tạo dẫn dắt. Theo bài báo phân tích Singapore (Singapore, MIR), mô hình M8 cho R² hiệu chỉnh bằng 0,196, tương tác FSTS² × DAI bằng 3,119, với điểm uốn (turning point) ở mức khoảng 82%.</w:t>
      </w:r>
    </w:p>
    <w:bookmarkEnd w:id="78"/>
    <w:bookmarkStart w:id="79" w:name="Xcd9fa829f006cba94cdb0b83c4ae7c647970610"/>
    <w:p>
      <w:pPr>
        <w:pStyle w:val="Heading5"/>
      </w:pPr>
      <w:r>
        <w:t xml:space="preserve">2.3.2.2 Saudi Arabia, Qatar và Kuwait (Advanced tài nguyên dẫn dắt — resource-driven, n=1.632, 3 đợt năm 2025)</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Chỉ số</w:t>
            </w:r>
          </w:p>
        </w:tc>
        <w:tc>
          <w:tcPr/>
          <w:p>
            <w:pPr>
              <w:pStyle w:val="Compact"/>
              <w:jc w:val="left"/>
            </w:pPr>
            <w:r>
              <w:t xml:space="preserve">Saudi Arabia</w:t>
            </w:r>
          </w:p>
        </w:tc>
        <w:tc>
          <w:tcPr/>
          <w:p>
            <w:pPr>
              <w:pStyle w:val="Compact"/>
              <w:jc w:val="left"/>
            </w:pPr>
            <w:r>
              <w:t xml:space="preserve">Qatar</w:t>
            </w:r>
          </w:p>
        </w:tc>
        <w:tc>
          <w:tcPr/>
          <w:p>
            <w:pPr>
              <w:pStyle w:val="Compact"/>
              <w:jc w:val="left"/>
            </w:pPr>
            <w:r>
              <w:t xml:space="preserve">Kuwait</w:t>
            </w:r>
          </w:p>
        </w:tc>
        <w:tc>
          <w:tcPr/>
          <w:p>
            <w:pPr>
              <w:pStyle w:val="Compact"/>
              <w:jc w:val="left"/>
            </w:pPr>
            <w:r>
              <w:t xml:space="preserve">Singapore</w:t>
            </w:r>
          </w:p>
        </w:tc>
      </w:tr>
      <w:tr>
        <w:tc>
          <w:tcPr/>
          <w:p>
            <w:pPr>
              <w:pStyle w:val="Compact"/>
              <w:jc w:val="left"/>
            </w:pPr>
            <w:r>
              <w:t xml:space="preserve">FSTS (%)</w:t>
            </w:r>
          </w:p>
        </w:tc>
        <w:tc>
          <w:tcPr/>
          <w:p>
            <w:pPr>
              <w:pStyle w:val="Compact"/>
              <w:jc w:val="left"/>
            </w:pPr>
            <w:r>
              <w:t xml:space="preserve">2,7</w:t>
            </w:r>
          </w:p>
        </w:tc>
        <w:tc>
          <w:tcPr/>
          <w:p>
            <w:pPr>
              <w:pStyle w:val="Compact"/>
              <w:jc w:val="left"/>
            </w:pPr>
            <w:r>
              <w:t xml:space="preserve">2,3</w:t>
            </w:r>
          </w:p>
        </w:tc>
        <w:tc>
          <w:tcPr/>
          <w:p>
            <w:pPr>
              <w:pStyle w:val="Compact"/>
              <w:jc w:val="left"/>
            </w:pPr>
            <w:r>
              <w:rPr>
                <w:bCs/>
                <w:b/>
              </w:rPr>
              <w:t xml:space="preserve">0,4</w:t>
            </w:r>
          </w:p>
        </w:tc>
        <w:tc>
          <w:tcPr/>
          <w:p>
            <w:pPr>
              <w:pStyle w:val="Compact"/>
              <w:jc w:val="left"/>
            </w:pPr>
            <w:r>
              <w:t xml:space="preserve">7,1</w:t>
            </w:r>
          </w:p>
        </w:tc>
      </w:tr>
      <w:tr>
        <w:tc>
          <w:tcPr/>
          <w:p>
            <w:pPr>
              <w:pStyle w:val="Compact"/>
              <w:jc w:val="left"/>
            </w:pPr>
            <w:r>
              <w:t xml:space="preserve">FDI ≥10% (%)</w:t>
            </w:r>
          </w:p>
        </w:tc>
        <w:tc>
          <w:tcPr/>
          <w:p>
            <w:pPr>
              <w:pStyle w:val="Compact"/>
              <w:jc w:val="left"/>
            </w:pPr>
            <w:r>
              <w:t xml:space="preserve">9,5</w:t>
            </w:r>
          </w:p>
        </w:tc>
        <w:tc>
          <w:tcPr/>
          <w:p>
            <w:pPr>
              <w:pStyle w:val="Compact"/>
              <w:jc w:val="left"/>
            </w:pPr>
            <w:r>
              <w:t xml:space="preserve">19,4</w:t>
            </w:r>
          </w:p>
        </w:tc>
        <w:tc>
          <w:tcPr/>
          <w:p>
            <w:pPr>
              <w:pStyle w:val="Compact"/>
              <w:jc w:val="left"/>
            </w:pPr>
            <w:r>
              <w:t xml:space="preserve">0,0</w:t>
            </w:r>
          </w:p>
        </w:tc>
        <w:tc>
          <w:tcPr/>
          <w:p>
            <w:pPr>
              <w:pStyle w:val="Compact"/>
              <w:jc w:val="left"/>
            </w:pPr>
            <w:r>
              <w:rPr>
                <w:bCs/>
                <w:b/>
              </w:rPr>
              <w:t xml:space="preserve">31,5</w:t>
            </w:r>
          </w:p>
        </w:tc>
      </w:tr>
      <w:tr>
        <w:tc>
          <w:tcPr/>
          <w:p>
            <w:pPr>
              <w:pStyle w:val="Compact"/>
              <w:jc w:val="left"/>
            </w:pPr>
            <w:r>
              <w:t xml:space="preserve">R&amp;D dương (%)</w:t>
            </w:r>
          </w:p>
        </w:tc>
        <w:tc>
          <w:tcPr/>
          <w:p>
            <w:pPr>
              <w:pStyle w:val="Compact"/>
              <w:jc w:val="left"/>
            </w:pPr>
            <w:r>
              <w:t xml:space="preserve">1,7</w:t>
            </w:r>
          </w:p>
        </w:tc>
        <w:tc>
          <w:tcPr/>
          <w:p>
            <w:pPr>
              <w:pStyle w:val="Compact"/>
              <w:jc w:val="left"/>
            </w:pPr>
            <w:r>
              <w:t xml:space="preserve">0,6</w:t>
            </w:r>
          </w:p>
        </w:tc>
        <w:tc>
          <w:tcPr/>
          <w:p>
            <w:pPr>
              <w:pStyle w:val="Compact"/>
              <w:jc w:val="left"/>
            </w:pPr>
            <w:r>
              <w:rPr>
                <w:bCs/>
                <w:b/>
              </w:rPr>
              <w:t xml:space="preserve">20,7</w:t>
            </w:r>
          </w:p>
        </w:tc>
        <w:tc>
          <w:tcPr/>
          <w:p>
            <w:pPr>
              <w:pStyle w:val="Compact"/>
              <w:jc w:val="left"/>
            </w:pPr>
            <w:r>
              <w:t xml:space="preserve">7,5</w:t>
            </w:r>
          </w:p>
        </w:tc>
      </w:tr>
      <w:tr>
        <w:tc>
          <w:tcPr/>
          <w:p>
            <w:pPr>
              <w:pStyle w:val="Compact"/>
              <w:jc w:val="left"/>
            </w:pPr>
            <w:r>
              <w:t xml:space="preserve">sd log năng suất</w:t>
            </w:r>
          </w:p>
        </w:tc>
        <w:tc>
          <w:tcPr/>
          <w:p>
            <w:pPr>
              <w:pStyle w:val="Compact"/>
              <w:jc w:val="left"/>
            </w:pPr>
            <w:r>
              <w:rPr>
                <w:bCs/>
                <w:b/>
              </w:rPr>
              <w:t xml:space="preserve">0,47</w:t>
            </w:r>
          </w:p>
        </w:tc>
        <w:tc>
          <w:tcPr/>
          <w:p>
            <w:pPr>
              <w:pStyle w:val="Compact"/>
              <w:jc w:val="left"/>
            </w:pPr>
            <w:r>
              <w:rPr>
                <w:bCs/>
                <w:b/>
              </w:rPr>
              <w:t xml:space="preserve">0,31</w:t>
            </w:r>
          </w:p>
        </w:tc>
        <w:tc>
          <w:tcPr/>
          <w:p>
            <w:pPr>
              <w:pStyle w:val="Compact"/>
              <w:jc w:val="left"/>
            </w:pPr>
            <w:r>
              <w:t xml:space="preserve">1,15</w:t>
            </w:r>
          </w:p>
        </w:tc>
        <w:tc>
          <w:tcPr/>
          <w:p>
            <w:pPr>
              <w:pStyle w:val="Compact"/>
              <w:jc w:val="left"/>
            </w:pPr>
            <w:r>
              <w:t xml:space="preserve">1,03</w:t>
            </w:r>
          </w:p>
        </w:tc>
      </w:tr>
    </w:tbl>
    <w:p>
      <w:pPr>
        <w:pStyle w:val="BodyText"/>
      </w:pPr>
      <w:r>
        <w:t xml:space="preserve">Năm phát hiện: (1) đặc trưng</w:t>
      </w:r>
      <w:r>
        <w:t xml:space="preserve"> </w:t>
      </w:r>
      <w:r>
        <w:rPr>
          <w:bCs/>
          <w:b/>
        </w:rPr>
        <w:t xml:space="preserve">nhà nước tô (rentier state)</w:t>
      </w:r>
      <w:r>
        <w:t xml:space="preserve"> </w:t>
      </w:r>
      <w:r>
        <w:t xml:space="preserve">theo Beblawi (1987), Hertog (2010), Hvidt (2013); (2)</w:t>
      </w:r>
      <w:r>
        <w:t xml:space="preserve"> </w:t>
      </w:r>
      <w:r>
        <w:rPr>
          <w:bCs/>
          <w:b/>
        </w:rPr>
        <w:t xml:space="preserve">phân bổ sai nguồn lực đảo chiều</w:t>
      </w:r>
      <w:r>
        <w:t xml:space="preserve"> </w:t>
      </w:r>
      <w:r>
        <w:t xml:space="preserve">so với Hsieh &amp; Klenow (2009); (3) Kuwait Vision 2035 với R&amp;D 20,7%; (4)</w:t>
      </w:r>
      <w:r>
        <w:t xml:space="preserve"> </w:t>
      </w:r>
      <w:r>
        <w:rPr>
          <w:bCs/>
          <w:b/>
        </w:rPr>
        <w:t xml:space="preserve">thiên lệch của DAI đơn thành phần</w:t>
      </w:r>
      <w:r>
        <w:t xml:space="preserve">; (5)</w:t>
      </w:r>
      <w:r>
        <w:t xml:space="preserve"> </w:t>
      </w:r>
      <w:r>
        <w:rPr>
          <w:bCs/>
          <w:b/>
        </w:rPr>
        <w:t xml:space="preserve">phân nhóm con (sub-grouping) Advanced</w:t>
      </w:r>
      <w:r>
        <w:t xml:space="preserve">, trong đó innovation-driven so với resource-driven là một dạng biến thể chế kiểu Varieties of Capitalism (Hall &amp; Soskice, 2001).</w:t>
      </w:r>
      <w:r>
        <w:t xml:space="preserve"> </w:t>
      </w:r>
      <w:r>
        <w:rPr>
          <w:bCs/>
          <w:b/>
        </w:rPr>
        <w:t xml:space="preserve">Bối cảnh xung đột Trung Đông 2026</w:t>
      </w:r>
      <w:r>
        <w:t xml:space="preserve">: IMF (2026, April) hạ mạnh dự báo tăng trưởng Saudi Arabia từ khoảng 4,5% xuống 3,1% do giảm sản lượng dầu; ADB (2026, April), trong báo cáo</w:t>
      </w:r>
      <w:r>
        <w:t xml:space="preserve"> </w:t>
      </w:r>
      <w:r>
        <w:rPr>
          <w:iCs/>
          <w:i/>
        </w:rPr>
        <w:t xml:space="preserve">Asian Development Outlook April 2026: The Middle East Conflict Challenges Resilience in Asia and the Pacific</w:t>
      </w:r>
      <w:r>
        <w:t xml:space="preserve">, dự báo Pacific 3,4%, Đông Nam Á 4,7% và Việt Nam 7,0%, qua đó củng cố luận điểm về dị biệt giữa Advanced innovation và resource.</w:t>
      </w:r>
    </w:p>
    <w:bookmarkEnd w:id="79"/>
    <w:bookmarkStart w:id="80" w:name="X6e6ea2cbb7d2ea6293626066fb44a7d7b15d0b7"/>
    <w:p>
      <w:pPr>
        <w:pStyle w:val="Heading5"/>
      </w:pPr>
      <w:r>
        <w:t xml:space="preserve">2.3.2.3 Việt Nam (n=3.077, 3 đợt khảo sát) — cập nhật với ADB Vietnam Outlook 2026</w:t>
      </w:r>
    </w:p>
    <w:p>
      <w:pPr>
        <w:pStyle w:val="BlockText"/>
      </w:pPr>
      <w:r>
        <w:rPr>
          <w:bCs/>
          <w:b/>
        </w:rPr>
        <w:t xml:space="preserve">Ghi chú đối chiếu cỡ mẫu (n)</w:t>
      </w:r>
      <w:r>
        <w:t xml:space="preserve">: Việt Nam có</w:t>
      </w:r>
      <w:r>
        <w:t xml:space="preserve"> </w:t>
      </w:r>
      <w:r>
        <w:rPr>
          <w:bCs/>
          <w:b/>
        </w:rPr>
        <w:t xml:space="preserve">n=3.077 doanh nghiệp</w:t>
      </w:r>
      <w:r>
        <w:t xml:space="preserve"> </w:t>
      </w:r>
      <w:r>
        <w:t xml:space="preserve">tổng cộng trong nhóm dữ liệu WBES (toàn bộ doanh nghiệp Việt Nam trong pool), trong khi</w:t>
      </w:r>
      <w:r>
        <w:t xml:space="preserve"> </w:t>
      </w:r>
      <w:r>
        <w:rPr>
          <w:bCs/>
          <w:b/>
        </w:rPr>
        <w:t xml:space="preserve">n=2.958 doanh nghiệp</w:t>
      </w:r>
      <w:r>
        <w:t xml:space="preserve"> </w:t>
      </w:r>
      <w:r>
        <w:t xml:space="preserve">là mẫu phụ đủ biến cho phân tích hồi quy (complete-case sample: sau khi loại các quan sát thiếu dữ liệu log năng suất, FSTS, TCI hoặc DAI). Chênh lệch 119 doanh nghiệp (3,9% mẫu) phản ánh dữ liệu khuyết (missing data) ở một số biến giải thích, không phải sai lệch số liệu. Các thống kê mô tả cấp quốc gia trong Mục 5.3 và Bảng 5.1 dùng n=3.077; các hệ số hồi quy và đối chiếu CDCM (Bảng 6.1.2, mục §2.3.1 chuyên đề §2.3.1.4.5.1) dùng n=2.958.</w:t>
      </w:r>
    </w:p>
    <w:p>
      <w:pPr>
        <w:pStyle w:val="FirstParagraph"/>
      </w:pPr>
      <w:r>
        <w:t xml:space="preserve">FSTS suy giảm dần qua các đợt, từ 23,2% còn 17,9% rồi 16,1%; doanh nghiệp xuất khẩu giảm từ 37,1% xuống 23,8%; ISO 17–23%; R&amp;D 6,1% (đợt 2023). Đây là pattern</w:t>
      </w:r>
      <w:r>
        <w:t xml:space="preserve"> </w:t>
      </w:r>
      <w:r>
        <w:rPr>
          <w:bCs/>
          <w:b/>
        </w:rPr>
        <w:t xml:space="preserve">kinh tế hai tầng (two-tier economy)</w:t>
      </w:r>
      <w:r>
        <w:t xml:space="preserve">, nơi doanh nghiệp FDI hướng xuất khẩu hiệu quả cao đan xen với doanh nghiệp nội địa năng suất thấp (CIEM, 2023; Tran &amp; Pham, 2024).</w:t>
      </w:r>
    </w:p>
    <w:p>
      <w:pPr>
        <w:pStyle w:val="BodyText"/>
      </w:pPr>
      <w:r>
        <w:rPr>
          <w:bCs/>
          <w:b/>
        </w:rPr>
        <w:t xml:space="preserve">Cập nhật bối cảnh 2026: ADB Vietnam Economic Outlook 2026</w:t>
      </w:r>
      <w:r>
        <w:t xml:space="preserve">: Theo ADB (2026, April,</w:t>
      </w:r>
      <w:r>
        <w:t xml:space="preserve"> </w:t>
      </w:r>
      <w:r>
        <w:rPr>
          <w:iCs/>
          <w:i/>
        </w:rPr>
        <w:t xml:space="preserve">Vietnam Economic Outlook 2026: Navigating the Crosscurrents</w:t>
      </w:r>
      <w:r>
        <w:t xml:space="preserve">), Việt Nam ghi nhận</w:t>
      </w:r>
      <w:r>
        <w:t xml:space="preserve"> </w:t>
      </w:r>
      <w:r>
        <w:rPr>
          <w:bCs/>
          <w:b/>
        </w:rPr>
        <w:t xml:space="preserve">GDP lịch sử 2025 đạt 8,0%</w:t>
      </w:r>
      <w:r>
        <w:t xml:space="preserve">, cao nhất khu vực Đông Nam Á, và dự phóng</w:t>
      </w:r>
      <w:r>
        <w:t xml:space="preserve"> </w:t>
      </w:r>
      <w:r>
        <w:rPr>
          <w:bCs/>
          <w:b/>
        </w:rPr>
        <w:t xml:space="preserve">7,2% (2026), 7,0% (2027)</w:t>
      </w:r>
      <w:r>
        <w:t xml:space="preserve">, vượt mức bình quân ASEAN 4,6% và Đông Nam Á 4,7%. Bốn động lực chính gồm: (a) FDI commitment $2,4 tỷ qua 18 dự án chiến lược; (b) năng suất lao động tăng 5,1% giai đoạn 2026-2027; (c) kinh tế hai tầng tiếp tục phân kỳ, cùng ADB Policy-Based Loans $2,4B hướng vào SME nội địa; (d) GVC re-positioning chuyển từ assembly downstream sang mid-stream design/R&amp;D theo 3 trụ cột</w:t>
      </w:r>
      <w:r>
        <w:t xml:space="preserve"> </w:t>
      </w:r>
      <w:r>
        <w:t xml:space="preserve">“</w:t>
      </w:r>
      <w:r>
        <w:t xml:space="preserve">Resilience + Environmental Sustainability + Inclusiveness</w:t>
      </w:r>
      <w:r>
        <w:t xml:space="preserve">”</w:t>
      </w:r>
      <w:r>
        <w:t xml:space="preserve">.</w:t>
      </w:r>
    </w:p>
    <w:p>
      <w:pPr>
        <w:pStyle w:val="BodyText"/>
      </w:pPr>
      <w:r>
        <w:rPr>
          <w:bCs/>
          <w:b/>
        </w:rPr>
        <w:t xml:space="preserve">Cập nhật macro deep: 4 mảng bổ sung</w:t>
      </w:r>
      <w:r>
        <w:t xml:space="preserve">:</w:t>
      </w:r>
    </w:p>
    <w:p>
      <w:pPr>
        <w:numPr>
          <w:ilvl w:val="0"/>
          <w:numId w:val="1017"/>
        </w:numPr>
      </w:pPr>
      <w:r>
        <w:rPr>
          <w:bCs/>
          <w:b/>
        </w:rPr>
        <w:t xml:space="preserve">Lạm phát</w:t>
      </w:r>
      <w:r>
        <w:t xml:space="preserve">: ADB dự báo</w:t>
      </w:r>
      <w:r>
        <w:t xml:space="preserve"> </w:t>
      </w:r>
      <w:r>
        <w:rPr>
          <w:bCs/>
          <w:b/>
        </w:rPr>
        <w:t xml:space="preserve">4,0% (2026), 3,8% (2027)</w:t>
      </w:r>
      <w:r>
        <w:t xml:space="preserve">, nằm trong vùng mục tiêu của Ngân hàng Nhà nước (không quá 4,5%). Áp lực đến từ giá năng lượng, xung đột Trung Đông kéo dài và đứt gãy chuỗi cung ứng vận tải biển. Việc kiểm soát được lạm phát tạo dư địa cho chính sách tiền tệ nới lỏng.</w:t>
      </w:r>
    </w:p>
    <w:p>
      <w:pPr>
        <w:numPr>
          <w:ilvl w:val="0"/>
          <w:numId w:val="1017"/>
        </w:numPr>
      </w:pPr>
      <w:r>
        <w:rPr>
          <w:bCs/>
          <w:b/>
        </w:rPr>
        <w:t xml:space="preserve">Cấu trúc ngành</w:t>
      </w:r>
      <w:r>
        <w:t xml:space="preserve"> </w:t>
      </w:r>
      <w:r>
        <w:t xml:space="preserve">(theo đóng góp tăng trưởng 2026):</w:t>
      </w:r>
      <w:r>
        <w:t xml:space="preserve"> </w:t>
      </w:r>
      <w:r>
        <w:rPr>
          <w:bCs/>
          <w:b/>
        </w:rPr>
        <w:t xml:space="preserve">công nghiệp và xây dựng 7,7%</w:t>
      </w:r>
      <w:r>
        <w:t xml:space="preserve"> </w:t>
      </w:r>
      <w:r>
        <w:t xml:space="preserve">(FDI manufacturing cộng smart manufacturing);</w:t>
      </w:r>
      <w:r>
        <w:t xml:space="preserve"> </w:t>
      </w:r>
      <w:r>
        <w:rPr>
          <w:bCs/>
          <w:b/>
        </w:rPr>
        <w:t xml:space="preserve">dịch vụ 7,5%</w:t>
      </w:r>
      <w:r>
        <w:t xml:space="preserve"> </w:t>
      </w:r>
      <w:r>
        <w:t xml:space="preserve">(du lịch phục hồi sau COVID, retail e-commerce, fintech);</w:t>
      </w:r>
      <w:r>
        <w:t xml:space="preserve"> </w:t>
      </w:r>
      <w:r>
        <w:rPr>
          <w:bCs/>
          <w:b/>
        </w:rPr>
        <w:t xml:space="preserve">nông nghiệp 3,6%</w:t>
      </w:r>
      <w:r>
        <w:t xml:space="preserve"> </w:t>
      </w:r>
      <w:r>
        <w:t xml:space="preserve">(climate-resilient agriculture, công nghệ cao). Cơ cấu này phản ánh sự chuyển dịch tiếp tục từ nông nghiệp sang công nghiệp rồi sang dịch vụ chất lượng cao.</w:t>
      </w:r>
    </w:p>
    <w:p>
      <w:pPr>
        <w:numPr>
          <w:ilvl w:val="0"/>
          <w:numId w:val="1017"/>
        </w:numPr>
      </w:pPr>
      <w:r>
        <w:rPr>
          <w:bCs/>
          <w:b/>
        </w:rPr>
        <w:t xml:space="preserve">Bốn trụ cột tăng trưởng</w:t>
      </w:r>
      <w:r>
        <w:t xml:space="preserve">: (a)</w:t>
      </w:r>
      <w:r>
        <w:t xml:space="preserve"> </w:t>
      </w:r>
      <w:r>
        <w:rPr>
          <w:bCs/>
          <w:b/>
        </w:rPr>
        <w:t xml:space="preserve">đầu tư công</w:t>
      </w:r>
      <w:r>
        <w:t xml:space="preserve"> </w:t>
      </w:r>
      <w:r>
        <w:t xml:space="preserve">với gói 800.000 tỷ VND giải ngân ưu tiên cho hạ tầng giao thông, năng lượng sạch và chuyển đổi số chính phủ; (b)</w:t>
      </w:r>
      <w:r>
        <w:t xml:space="preserve"> </w:t>
      </w:r>
      <w:r>
        <w:rPr>
          <w:bCs/>
          <w:b/>
        </w:rPr>
        <w:t xml:space="preserve">chính sách tiền tệ nới lỏng</w:t>
      </w:r>
      <w:r>
        <w:t xml:space="preserve">, khi Ngân hàng Nhà nước duy trì lãi suất tái cấp vốn thấp và mở rộng tín dụng có chọn lọc cho SME cùng manufacturing; (c)</w:t>
      </w:r>
      <w:r>
        <w:t xml:space="preserve"> </w:t>
      </w:r>
      <w:r>
        <w:rPr>
          <w:bCs/>
          <w:b/>
        </w:rPr>
        <w:t xml:space="preserve">FDI inflows</w:t>
      </w:r>
      <w:r>
        <w:t xml:space="preserve"> </w:t>
      </w:r>
      <w:r>
        <w:t xml:space="preserve">với $2,4 tỷ commitment qua 18 dự án chiến lược (fintech, năng lượng sạch, logistics, semiconductor packaging); (d)</w:t>
      </w:r>
      <w:r>
        <w:t xml:space="preserve"> </w:t>
      </w:r>
      <w:r>
        <w:rPr>
          <w:bCs/>
          <w:b/>
        </w:rPr>
        <w:t xml:space="preserve">xuất khẩu</w:t>
      </w:r>
      <w:r>
        <w:t xml:space="preserve">, duy trì hơn 30% kim ngạch sang Mỹ (đối tác lớn nhất) đồng thời đa dạng hóa qua CPTPP, RCEP và ACFTA.</w:t>
      </w:r>
    </w:p>
    <w:p>
      <w:pPr>
        <w:numPr>
          <w:ilvl w:val="0"/>
          <w:numId w:val="1017"/>
        </w:numPr>
      </w:pPr>
      <w:r>
        <w:rPr>
          <w:bCs/>
          <w:b/>
        </w:rPr>
        <w:t xml:space="preserve">Năm rủi ro chính</w:t>
      </w:r>
      <w:r>
        <w:t xml:space="preserve">: (a)</w:t>
      </w:r>
      <w:r>
        <w:t xml:space="preserve"> </w:t>
      </w:r>
      <w:r>
        <w:rPr>
          <w:bCs/>
          <w:b/>
        </w:rPr>
        <w:t xml:space="preserve">gián đoạn chuỗi cung ứng toàn cầu</w:t>
      </w:r>
      <w:r>
        <w:t xml:space="preserve"> </w:t>
      </w:r>
      <w:r>
        <w:t xml:space="preserve">do Trung Đông, chip shortage và vận tải biển; (b)</w:t>
      </w:r>
      <w:r>
        <w:t xml:space="preserve"> </w:t>
      </w:r>
      <w:r>
        <w:rPr>
          <w:bCs/>
          <w:b/>
        </w:rPr>
        <w:t xml:space="preserve">chính sách thuế quan Mỹ 2026</w:t>
      </w:r>
      <w:r>
        <w:t xml:space="preserve">, với thuế 10% tạm thời và nguy cơ tăng lên 15% (xem Lớp 7 ở Mục 1.1 mục §2.1–§2.2 chuyên đề); (c)</w:t>
      </w:r>
      <w:r>
        <w:t xml:space="preserve"> </w:t>
      </w:r>
      <w:r>
        <w:rPr>
          <w:bCs/>
          <w:b/>
        </w:rPr>
        <w:t xml:space="preserve">thanh khoản nội địa</w:t>
      </w:r>
      <w:r>
        <w:t xml:space="preserve">, khi tỷ lệ nợ doanh nghiệp trên GDP cao (khoảng 120%); (d)</w:t>
      </w:r>
      <w:r>
        <w:t xml:space="preserve"> </w:t>
      </w:r>
      <w:r>
        <w:rPr>
          <w:bCs/>
          <w:b/>
        </w:rPr>
        <w:t xml:space="preserve">nợ xấu hệ thống ngân hàng</w:t>
      </w:r>
      <w:r>
        <w:t xml:space="preserve">, đặc biệt từ bất động sản; (e)</w:t>
      </w:r>
      <w:r>
        <w:t xml:space="preserve"> </w:t>
      </w:r>
      <w:r>
        <w:rPr>
          <w:bCs/>
          <w:b/>
        </w:rPr>
        <w:t xml:space="preserve">trái phiếu doanh nghiệp yếu</w:t>
      </w:r>
      <w:r>
        <w:t xml:space="preserve"> </w:t>
      </w:r>
      <w:r>
        <w:t xml:space="preserve">sau khủng hoảng Tân Hoàng Minh và Vạn Thịnh Phát 2022-2024, đòi hỏi củng cố niềm tin nhà đầu tư trái phiếu trong nước.</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Vietnam_HighValue_FDI_2026</w:t>
      </w:r>
      <w:r>
        <w:t xml:space="preserve"> </w:t>
      </w:r>
      <w:r>
        <w:t xml:space="preserve">để đo bước chuyển từ assembly sang higher-value của FDI manufacturing, dùng làm kiểm định cho</w:t>
      </w:r>
      <w:r>
        <w:t xml:space="preserve"> </w:t>
      </w:r>
      <w:r>
        <w:rPr>
          <w:bCs/>
          <w:b/>
        </w:rPr>
        <w:t xml:space="preserve">H7 về tương tác industry × institutional dynamism</w:t>
      </w:r>
      <w:r>
        <w:t xml:space="preserve"> </w:t>
      </w:r>
      <w:r>
        <w:t xml:space="preserve">(Kafouros et al., 2023). Bổ sung thêm</w:t>
      </w:r>
      <w:r>
        <w:t xml:space="preserve"> </w:t>
      </w:r>
      <w:r>
        <w:rPr>
          <w:bCs/>
          <w:b/>
        </w:rPr>
        <w:t xml:space="preserve">biến</w:t>
      </w:r>
      <w:r>
        <w:rPr>
          <w:bCs/>
          <w:b/>
        </w:rPr>
        <w:t xml:space="preserve"> </w:t>
      </w:r>
      <w:r>
        <w:rPr>
          <w:rStyle w:val="VerbatimChar"/>
          <w:bCs/>
          <w:b/>
        </w:rPr>
        <w:t xml:space="preserve">Vietnam_Sector_Mix_2026</w:t>
      </w:r>
      <w:r>
        <w:t xml:space="preserve"> </w:t>
      </w:r>
      <w:r>
        <w:t xml:space="preserve">(3 cấp: công nghiệp, dịch vụ, nông nghiệp) làm control variable trong robustness check #6 (sector composition adjustment).</w:t>
      </w:r>
    </w:p>
    <w:bookmarkEnd w:id="80"/>
    <w:bookmarkStart w:id="81" w:name="trung-quốc-n4.889"/>
    <w:p>
      <w:pPr>
        <w:pStyle w:val="Heading5"/>
      </w:pPr>
      <w:r>
        <w:t xml:space="preserve">2.3.2.4 Trung Quốc (n=4.889)</w:t>
      </w:r>
    </w:p>
    <w:p>
      <w:pPr>
        <w:pStyle w:val="FirstParagraph"/>
      </w:pPr>
      <w:r>
        <w:t xml:space="preserve">FSTS giảm từ 10,9% xuống 8,8%; FDI ≥10% chiếm 6,0%. Quan hệ giữa FSTS và năng suất có dạng đường cong bậc hai (inverted-U), với điểm uốn 49,4% (2012) và 47,2% (2024), bền vững theo kiểm định Paternoster. Wang, Huang và Hong (2024,</w:t>
      </w:r>
      <w:r>
        <w:t xml:space="preserve"> </w:t>
      </w:r>
      <w:r>
        <w:rPr>
          <w:iCs/>
          <w:i/>
        </w:rPr>
        <w:t xml:space="preserve">IRFA</w:t>
      </w:r>
      <w:r>
        <w:t xml:space="preserve">) cho thấy 80% bank risk models ở PRC phụ thuộc vào dominant tech providers, tạo nên</w:t>
      </w:r>
      <w:r>
        <w:t xml:space="preserve"> </w:t>
      </w:r>
      <w:r>
        <w:rPr>
          <w:bCs/>
          <w:b/>
        </w:rPr>
        <w:t xml:space="preserve">concentration risk</w:t>
      </w:r>
      <w:r>
        <w:t xml:space="preserve"> </w:t>
      </w:r>
      <w:r>
        <w:t xml:space="preserve">trong digital ecosystem của PRC.</w:t>
      </w:r>
    </w:p>
    <w:p>
      <w:pPr>
        <w:pStyle w:val="BodyText"/>
      </w:pPr>
      <w:r>
        <w:rPr>
          <w:bCs/>
          <w:b/>
        </w:rPr>
        <w:t xml:space="preserve">Khung Zombie firms PRC: lý giải bổ sung cho điểm uốn bậc hai (inverted-U) ~49%</w:t>
      </w:r>
      <w:r>
        <w:t xml:space="preserve">: Theo nghiên cứu của Caballero, Hoshi và Kashyap (2008,</w:t>
      </w:r>
      <w:r>
        <w:t xml:space="preserve"> </w:t>
      </w:r>
      <w:r>
        <w:rPr>
          <w:iCs/>
          <w:i/>
        </w:rPr>
        <w:t xml:space="preserve">American Economic Review</w:t>
      </w:r>
      <w:r>
        <w:t xml:space="preserve">) cùng ghi chú phân tích nội bộ của tác giả (2026), khái niệm</w:t>
      </w:r>
      <w:r>
        <w:t xml:space="preserve"> </w:t>
      </w:r>
      <w:r>
        <w:rPr>
          <w:bCs/>
          <w:b/>
        </w:rPr>
        <w:t xml:space="preserve">“</w:t>
      </w:r>
      <w:r>
        <w:rPr>
          <w:bCs/>
          <w:b/>
        </w:rPr>
        <w:t xml:space="preserve">doanh nghiệp xác sống</w:t>
      </w:r>
      <w:r>
        <w:rPr>
          <w:bCs/>
          <w:b/>
        </w:rPr>
        <w:t xml:space="preserve">”</w:t>
      </w:r>
      <w:r>
        <w:rPr>
          <w:bCs/>
          <w:b/>
        </w:rPr>
        <w:t xml:space="preserve"> </w:t>
      </w:r>
      <w:r>
        <w:rPr>
          <w:bCs/>
          <w:b/>
        </w:rPr>
        <w:t xml:space="preserve">(zombie firms)</w:t>
      </w:r>
      <w:r>
        <w:t xml:space="preserve"> </w:t>
      </w:r>
      <w:r>
        <w:t xml:space="preserve">chỉ những doanh nghiệp tồn tại nhờ tín dụng ưu đãi hoặc trợ cấp ngầm, không tạo lợi nhuận thực + không khấu hao bình thường. Trong bối cảnh PRC sau 2015 (chiến dịch khử rủi ro tài chính + supply-side structural reform), tỷ lệ zombie firms ở các SOE + ngành thừa năng lực sản xuất (steel, coal, real estate, shipbuilding) vẫn cao bất chấp các đợt thắt chặt.</w:t>
      </w:r>
    </w:p>
    <w:p>
      <w:pPr>
        <w:pStyle w:val="BodyText"/>
      </w:pPr>
      <w:r>
        <w:rPr>
          <w:bCs/>
          <w:b/>
        </w:rPr>
        <w:t xml:space="preserve">Ba cơ chế zombie firms làm méo TFP tổng thể PRC</w:t>
      </w:r>
      <w:r>
        <w:t xml:space="preserve">:</w:t>
      </w:r>
    </w:p>
    <w:p>
      <w:pPr>
        <w:numPr>
          <w:ilvl w:val="0"/>
          <w:numId w:val="1018"/>
        </w:numPr>
      </w:pPr>
      <w:r>
        <w:rPr>
          <w:bCs/>
          <w:b/>
        </w:rPr>
        <w:t xml:space="preserve">Chậm đào thải</w:t>
      </w:r>
      <w:r>
        <w:t xml:space="preserve"> </w:t>
      </w:r>
      <w:r>
        <w:t xml:space="preserve">(slow exit): doanh nghiệp xác sống không phá sản nên vẫn chiếm dụng vốn vay ngân hàng, đất đai và lao động, qua đó kéo dài chu kỳ phân bổ sai nguồn lực (kênh Hsieh &amp; Klenow, 2009). Trong WBES PRC pool, một số firm zombie có FSTS cao do cố xuất khẩu để duy trì doanh thu nhưng năng suất thực lại thấp, góp phần kéo điểm uốn bậc hai về phía khoảng 49%.</w:t>
      </w:r>
    </w:p>
    <w:p>
      <w:pPr>
        <w:numPr>
          <w:ilvl w:val="0"/>
          <w:numId w:val="1018"/>
        </w:numPr>
      </w:pPr>
      <w:r>
        <w:rPr>
          <w:bCs/>
          <w:b/>
        </w:rPr>
        <w:t xml:space="preserve">Cản trở entry</w:t>
      </w:r>
      <w:r>
        <w:t xml:space="preserve"> </w:t>
      </w:r>
      <w:r>
        <w:t xml:space="preserve">(entry barrier): SME mới không thể chiếm thị phần vì zombie firms vẫn occupy thị trường nội địa với giá dumping. Điều này liên kết với Emerging Asia ở Mục 5.5: Việt Nam, Indonesia và India tránh được zombie effect nhờ market discipline mạnh hơn, nhờ đó entry rate cao và creative destruction (Schumpeter, 1942) hoạt động tốt hơn.</w:t>
      </w:r>
    </w:p>
    <w:p>
      <w:pPr>
        <w:numPr>
          <w:ilvl w:val="0"/>
          <w:numId w:val="1018"/>
        </w:numPr>
      </w:pPr>
      <w:r>
        <w:rPr>
          <w:bCs/>
          <w:b/>
        </w:rPr>
        <w:t xml:space="preserve">Concentration risk và zombie hybrid</w:t>
      </w:r>
      <w:r>
        <w:t xml:space="preserve">: phát hiện của Wang/Huang/Hong (2024) rằng 80% bank risk models của PRC phụ thuộc vào dominant tech providers, khi</w:t>
      </w:r>
      <w:r>
        <w:t xml:space="preserve"> </w:t>
      </w:r>
      <w:r>
        <w:rPr>
          <w:bCs/>
          <w:b/>
        </w:rPr>
        <w:t xml:space="preserve">kết hợp</w:t>
      </w:r>
      <w:r>
        <w:t xml:space="preserve"> </w:t>
      </w:r>
      <w:r>
        <w:t xml:space="preserve">với cấu trúc zombie firms, tạo ra rủi ro hệ thống: nếu fintech provider lock-in thất bại và zombie firms đồng loạt default cùng lúc thì có thể dẫn đến systemic banking crisis. Đây là rủi ro mới cho các doanh nghiệp xuất khẩu Việt Nam có liên hệ với Trung Quốc.</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Zombie_Firm_Indicator_PRC</w:t>
      </w:r>
      <w:r>
        <w:t xml:space="preserve"> </w:t>
      </w:r>
      <w:r>
        <w:t xml:space="preserve">(proxy: firm có ROA dưới 0 trong 3 năm liên tiếp kèm tăng nợ vay) để kiểm tra xem điểm uốn bậc hai khoảng 49% có dịch chuyển khi loại zombie firms khỏi PRC subsample hay không. Đây là robustness check #7 (zombie-excluded re-estimation), bổ sung sau các kiểm định Manufacturing-only, ICT-excluded, Tourism-separated SIDS, Construction-tested Gulf, Mining-excluded resource và Sector composition adjustment.</w:t>
      </w:r>
    </w:p>
    <w:bookmarkEnd w:id="81"/>
    <w:bookmarkStart w:id="82" w:name="X1f94acac25bed45da20cf53e9ab6edd651a0a2e"/>
    <w:p>
      <w:pPr>
        <w:pStyle w:val="Heading5"/>
      </w:pPr>
      <w:r>
        <w:t xml:space="preserve">2.3.2.5 Tổng hợp Emerging Asia (n=42.278) — bổ sung trường hợp Ấn Độ</w:t>
      </w:r>
    </w:p>
    <w:p>
      <w:pPr>
        <w:pStyle w:val="FirstParagraph"/>
      </w:pPr>
      <w:r>
        <w:t xml:space="preserve">FSTS 7,6%; FDI ≥10% chiếm 4,4%; tỷ lệ doanh nghiệp có R&amp;D dương là 16%. Phân tán nội bộ lớn (sd log 2,18), phản ánh dị biệt rộng xuyên 7 nước Emerging.</w:t>
      </w:r>
    </w:p>
    <w:p>
      <w:pPr>
        <w:pStyle w:val="BodyText"/>
      </w:pPr>
      <w:r>
        <w:rPr>
          <w:bCs/>
          <w:b/>
        </w:rPr>
        <w:t xml:space="preserve">Trường hợp Ấn Độ: chứng cứ lan tỏa công nghệ (technology spillovers)</w:t>
      </w:r>
      <w:r>
        <w:t xml:space="preserve">: Sikdar và Mukhopadhyay (2026,</w:t>
      </w:r>
      <w:r>
        <w:t xml:space="preserve"> </w:t>
      </w:r>
      <w:r>
        <w:rPr>
          <w:iCs/>
          <w:i/>
        </w:rPr>
        <w:t xml:space="preserve">Asian Development Review, 43</w:t>
      </w:r>
      <w:r>
        <w:t xml:space="preserve">(1), pp.37-75) thực hiện nghiên cứu panel trên</w:t>
      </w:r>
      <w:r>
        <w:t xml:space="preserve"> </w:t>
      </w:r>
      <w:r>
        <w:rPr>
          <w:bCs/>
          <w:b/>
        </w:rPr>
        <w:t xml:space="preserve">4.293 doanh nghiệp Ấn Độ giai đoạn 2006-2019</w:t>
      </w:r>
      <w:r>
        <w:t xml:space="preserve">. Nghiên cứu này phát hiện rằng FDI là kênh</w:t>
      </w:r>
      <w:r>
        <w:t xml:space="preserve"> </w:t>
      </w:r>
      <w:r>
        <w:rPr>
          <w:bCs/>
          <w:b/>
        </w:rPr>
        <w:t xml:space="preserve">lan tỏa ngang (horizontal spillover)</w:t>
      </w:r>
      <w:r>
        <w:t xml:space="preserve"> </w:t>
      </w:r>
      <w:r>
        <w:t xml:space="preserve">quan trọng nhất; doanh nghiệp lớn và hiệu quả cao thu nhận lan tỏa (capture spillovers) nhiều nhất;</w:t>
      </w:r>
      <w:r>
        <w:t xml:space="preserve"> </w:t>
      </w:r>
      <w:r>
        <w:rPr>
          <w:bCs/>
          <w:b/>
        </w:rPr>
        <w:t xml:space="preserve">dòng vốn FDI vào (FDI inflows)</w:t>
      </w:r>
      <w:r>
        <w:t xml:space="preserve"> </w:t>
      </w:r>
      <w:r>
        <w:t xml:space="preserve">tăng từ $1,705M (1990-2000) lên $42,396M (2012-2022); chi tiêu R&amp;D trì trệ ở mức 0,7% GDP; và</w:t>
      </w:r>
      <w:r>
        <w:t xml:space="preserve"> </w:t>
      </w:r>
      <w:r>
        <w:rPr>
          <w:bCs/>
          <w:b/>
        </w:rPr>
        <w:t xml:space="preserve">đơn đăng ký sáng chế của cư dân (resident patent filing)</w:t>
      </w:r>
      <w:r>
        <w:t xml:space="preserve"> </w:t>
      </w:r>
      <w:r>
        <w:t xml:space="preserve">tăng +11,9% mỗi năm trong 2012-2022.</w:t>
      </w:r>
    </w:p>
    <w:bookmarkEnd w:id="82"/>
    <w:bookmarkStart w:id="83" w:name="X7d16e64d9573be7621d2bb233de576b8fd08afb"/>
    <w:p>
      <w:pPr>
        <w:pStyle w:val="Heading5"/>
      </w:pPr>
      <w:r>
        <w:t xml:space="preserve">2.3.2.6 Mongolia — từ lời nguyền tài nguyên đến chuyển đổi critical minerals (n=1.905, 4 đợt 2009–2025)</w:t>
      </w:r>
    </w:p>
    <w:p>
      <w:pPr>
        <w:pStyle w:val="FirstParagraph"/>
      </w:pPr>
      <w:r>
        <w:t xml:space="preserve">FSTS đình trệ ở mức 4-6%; FDI ≥10% giảm rõ từ</w:t>
      </w:r>
      <w:r>
        <w:t xml:space="preserve"> </w:t>
      </w:r>
      <w:r>
        <w:rPr>
          <w:bCs/>
          <w:b/>
        </w:rPr>
        <w:t xml:space="preserve">7,2% xuống 3,2%</w:t>
      </w:r>
      <w:r>
        <w:t xml:space="preserve">; tỷ lệ website tăng từ 39% lên 65%. Đây là pattern</w:t>
      </w:r>
      <w:r>
        <w:t xml:space="preserve"> </w:t>
      </w:r>
      <w:r>
        <w:rPr>
          <w:bCs/>
          <w:b/>
        </w:rPr>
        <w:t xml:space="preserve">lời nguyền tài nguyên</w:t>
      </w:r>
      <w:r>
        <w:t xml:space="preserve"> </w:t>
      </w:r>
      <w:r>
        <w:t xml:space="preserve">(Auty, 1993; Sachs &amp; Warner, 2001).</w:t>
      </w:r>
    </w:p>
    <w:p>
      <w:pPr>
        <w:pStyle w:val="BodyText"/>
      </w:pPr>
      <w:r>
        <w:rPr>
          <w:bCs/>
          <w:b/>
        </w:rPr>
        <w:t xml:space="preserve">Bước ngoặt 2026: chuyển đổi critical minerals (ADB, 2026, May)</w:t>
      </w:r>
      <w:r>
        <w:t xml:space="preserve">: Mongolia nằm ở giao điểm chiến lược của</w:t>
      </w:r>
      <w:r>
        <w:t xml:space="preserve"> </w:t>
      </w:r>
      <w:r>
        <w:rPr>
          <w:bCs/>
          <w:b/>
        </w:rPr>
        <w:t xml:space="preserve">11 critical minerals</w:t>
      </w:r>
      <w:r>
        <w:t xml:space="preserve"> </w:t>
      </w:r>
      <w:r>
        <w:t xml:space="preserve">(Cu, Li, Mo, Mn, Co, Ni, W, REE, v.v.). Cu exports đạt 1,69 Mt (2024), tương đương 22,1% tổng xuất khẩu. Oyu Tolgoi đặt mục tiêu 500.000 tấn mỗi năm trong 2028-2036. Trung Quốc giữ vị thế áp đảo về chế biến với 100% graphite, 90% Mn và 70% Co. CĐ2 sẽ bổ sung biến</w:t>
      </w:r>
      <w:r>
        <w:t xml:space="preserve"> </w:t>
      </w:r>
      <w:r>
        <w:rPr>
          <w:rStyle w:val="VerbatimChar"/>
        </w:rPr>
        <w:t xml:space="preserve">Critical_Minerals_Exposure</w:t>
      </w:r>
      <w:r>
        <w:t xml:space="preserve">.</w:t>
      </w:r>
    </w:p>
    <w:tbl>
      <w:tblPr>
        <w:tblStyle w:val="FigureTable"/>
        <w:tblW w:type="auto" w:w="0"/>
        <w:tblLook w:firstRow="0" w:lastRow="0" w:firstColumn="0" w:lastColumn="0"/>
        <w:jc w:val="center"/>
      </w:tblPr>
      <w:tblGrid>
        <w:gridCol w:w="7920"/>
      </w:tblGrid>
      <w:tr>
        <w:tc>
          <w:tcPr/>
          <w:p>
            <w:pPr>
              <w:pStyle w:val="Compact"/>
              <w:jc w:val="center"/>
            </w:pPr>
            <w:r>
              <w:t xml:space="preserve">Hình 5.6.1, Mongolia: Evolution 2009–2025 (4 đợt khảo sát WBES)</w:t>
            </w:r>
          </w:p>
        </w:tc>
      </w:tr>
    </w:tbl>
    <w:p>
      <w:pPr>
        <w:pStyle w:val="ImageCaption"/>
      </w:pPr>
      <w:r>
        <w:t xml:space="preserve">Hình 5.6.1, Mongolia: Evolution 2009–2025 (4 đợt khảo sát WBES)</w:t>
      </w:r>
    </w:p>
    <w:bookmarkEnd w:id="83"/>
    <w:bookmarkStart w:id="84" w:name="sids-thái-bình-dương-7-nước-n1.371"/>
    <w:p>
      <w:pPr>
        <w:pStyle w:val="Heading5"/>
      </w:pPr>
      <w:r>
        <w:t xml:space="preserve">2.3.2.7 SIDS Thái Bình Dương (7 nước, n=1.371)</w:t>
      </w:r>
    </w:p>
    <w:p>
      <w:pPr>
        <w:pStyle w:val="FirstParagraph"/>
      </w:pPr>
      <w:r>
        <w:rPr>
          <w:bCs/>
          <w:b/>
        </w:rPr>
        <w:t xml:space="preserve">Bảy nước</w:t>
      </w:r>
      <w:r>
        <w:t xml:space="preserve">: Fiji (FJI), Papua New Guinea (PNG), Solomon Islands (SLB), Tonga (TON), Vanuatu (VUT), Samoa (WSM) và</w:t>
      </w:r>
      <w:r>
        <w:t xml:space="preserve"> </w:t>
      </w:r>
      <w:r>
        <w:rPr>
          <w:bCs/>
          <w:b/>
        </w:rPr>
        <w:t xml:space="preserve">Kiribati (KIR, bổ sung năm 2025)</w:t>
      </w:r>
      <w:r>
        <w:t xml:space="preserve">. Tổng n=1.371. FSTS 6,3%; FDI ≥10% đạt</w:t>
      </w:r>
      <w:r>
        <w:t xml:space="preserve"> </w:t>
      </w:r>
      <w:r>
        <w:rPr>
          <w:bCs/>
          <w:b/>
        </w:rPr>
        <w:t xml:space="preserve">23,5%</w:t>
      </w:r>
      <w:r>
        <w:t xml:space="preserve">; đổi mới sản phẩm</w:t>
      </w:r>
      <w:r>
        <w:t xml:space="preserve"> </w:t>
      </w:r>
      <w:r>
        <w:rPr>
          <w:bCs/>
          <w:b/>
        </w:rPr>
        <w:t xml:space="preserve">41,5%</w:t>
      </w:r>
      <w:r>
        <w:t xml:space="preserve">; website</w:t>
      </w:r>
      <w:r>
        <w:t xml:space="preserve"> </w:t>
      </w:r>
      <w:r>
        <w:rPr>
          <w:bCs/>
          <w:b/>
        </w:rPr>
        <w:t xml:space="preserve">58,9%</w:t>
      </w:r>
      <w:r>
        <w:t xml:space="preserve">. Đây là pattern</w:t>
      </w:r>
      <w:r>
        <w:t xml:space="preserve"> </w:t>
      </w:r>
      <w:r>
        <w:rPr>
          <w:bCs/>
          <w:b/>
        </w:rPr>
        <w:t xml:space="preserve">thích nghi trong điều kiện ràng buộc (adaptation under constraint)</w:t>
      </w:r>
      <w:r>
        <w:t xml:space="preserve">.</w:t>
      </w:r>
    </w:p>
    <w:p>
      <w:pPr>
        <w:pStyle w:val="BodyText"/>
      </w:pPr>
      <w:r>
        <w:rPr>
          <w:bCs/>
          <w:b/>
        </w:rPr>
        <w:t xml:space="preserve">Kiribati 2025: trường hợp biên CỰC ĐOAN nhất</w:t>
      </w:r>
      <w:r>
        <w:t xml:space="preserve">: FSTS 1,03%, FDI 0,7%, website 18,7%, ISO 1,3%, sd log 1,48, SME 93,3%. GDP bình quân đầu người khoảng 1.700 USD, viện trợ AUS/NZ khoảng 30% GDP.</w:t>
      </w:r>
    </w:p>
    <w:bookmarkEnd w:id="84"/>
    <w:bookmarkStart w:id="85" w:name="bối-cảnh-kinh-tế-vĩ-mô-pics-pacific"/>
    <w:p>
      <w:pPr>
        <w:pStyle w:val="Heading5"/>
      </w:pPr>
      <w:r>
        <w:t xml:space="preserve">2.3.2.7.5 Bối cảnh kinh tế vĩ mô PICs Pacific</w:t>
      </w:r>
    </w:p>
    <w:p>
      <w:pPr>
        <w:pStyle w:val="FirstParagraph"/>
      </w:pPr>
      <w:r>
        <w:t xml:space="preserve">PICs vận hành trên 4 trụ cột MIRAB (Bertram, 2006): (1) khu vực công chủ đạo (30-50% việc làm chính thức); (2) phụ thuộc 4 nguồn ngoại sinh là nông nghiệp tự cấp, ODA 30% GDP, remittances 25-40% GDP và khai thác tài nguyên; (3) thanh niên thất nghiệp 15-30%, dân số dưới 25 tuổi chiếm hơn 50%; (4) migration labor qua PLMS Australia và RSE New Zealand như kênh sinh tồn (Vanuatu RSE chiếm 15-20% GDP). Có thể liên kết các điểm sau: Fiji với website 74,8% vượt Singapore (nhờ PLMS và remittance corridors); Kiribati chỉ 18,7% (các outer island không có internet); và SIDS innovation 41,5% (bricolage theo Baker &amp; Nelson 2005). CĐ2 sẽ bổ sung 3 control variables đặc thù PICs (</w:t>
      </w:r>
      <w:r>
        <w:rPr>
          <w:rStyle w:val="VerbatimChar"/>
        </w:rPr>
        <w:t xml:space="preserve">aid_share_GDP_pct</w:t>
      </w:r>
      <w:r>
        <w:t xml:space="preserve">,</w:t>
      </w:r>
      <w:r>
        <w:t xml:space="preserve"> </w:t>
      </w:r>
      <w:r>
        <w:rPr>
          <w:rStyle w:val="VerbatimChar"/>
        </w:rPr>
        <w:t xml:space="preserve">remittance_share_GDP_pct</w:t>
      </w:r>
      <w:r>
        <w:t xml:space="preserve">,</w:t>
      </w:r>
      <w:r>
        <w:t xml:space="preserve"> </w:t>
      </w:r>
      <w:r>
        <w:rPr>
          <w:rStyle w:val="VerbatimChar"/>
        </w:rPr>
        <w:t xml:space="preserve">seasonal_worker_outflow_pct</w:t>
      </w:r>
      <w:r>
        <w:t xml:space="preserve">).</w:t>
      </w:r>
    </w:p>
    <w:bookmarkEnd w:id="85"/>
    <w:bookmarkStart w:id="86" w:name="so-sánh-tổng-hợp"/>
    <w:p>
      <w:pPr>
        <w:pStyle w:val="Heading5"/>
      </w:pPr>
      <w:r>
        <w:t xml:space="preserve">2.3.2.8 So sánh tổng hợp</w:t>
      </w:r>
    </w:p>
    <w:p>
      <w:pPr>
        <w:pStyle w:val="FirstParagraph"/>
      </w:pPr>
      <w:r>
        <w:rPr>
          <w:bCs/>
          <w:b/>
        </w:rPr>
        <w:t xml:space="preserve">Bảng 5.1</w:t>
      </w:r>
      <w:r>
        <w:t xml:space="preserve">.</w:t>
      </w:r>
      <w:r>
        <w:t xml:space="preserve"> </w:t>
      </w:r>
      <w:r>
        <w:rPr>
          <w:iCs/>
          <w:i/>
        </w:rPr>
        <w:t xml:space="preserve">Ma trận so sánh đa chiều bảy tiểu cảnh điển hình.</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Chỉ số</w:t>
            </w:r>
          </w:p>
        </w:tc>
        <w:tc>
          <w:tcPr/>
          <w:p>
            <w:pPr>
              <w:pStyle w:val="Compact"/>
              <w:jc w:val="left"/>
            </w:pPr>
            <w:r>
              <w:t xml:space="preserve">Singapore</w:t>
            </w:r>
          </w:p>
        </w:tc>
        <w:tc>
          <w:tcPr/>
          <w:p>
            <w:pPr>
              <w:pStyle w:val="Compact"/>
              <w:jc w:val="left"/>
            </w:pPr>
            <w:r>
              <w:t xml:space="preserve">Việt Nam</w:t>
            </w:r>
          </w:p>
        </w:tc>
        <w:tc>
          <w:tcPr/>
          <w:p>
            <w:pPr>
              <w:pStyle w:val="Compact"/>
              <w:jc w:val="left"/>
            </w:pPr>
            <w:r>
              <w:t xml:space="preserve">Trung Quốc</w:t>
            </w:r>
          </w:p>
        </w:tc>
        <w:tc>
          <w:tcPr/>
          <w:p>
            <w:pPr>
              <w:pStyle w:val="Compact"/>
              <w:jc w:val="left"/>
            </w:pPr>
            <w:r>
              <w:t xml:space="preserve">Em Asia</w:t>
            </w:r>
          </w:p>
        </w:tc>
        <w:tc>
          <w:tcPr/>
          <w:p>
            <w:pPr>
              <w:pStyle w:val="Compact"/>
              <w:jc w:val="left"/>
            </w:pPr>
            <w:r>
              <w:t xml:space="preserve">Mongolia</w:t>
            </w:r>
          </w:p>
        </w:tc>
        <w:tc>
          <w:tcPr/>
          <w:p>
            <w:pPr>
              <w:pStyle w:val="Compact"/>
              <w:jc w:val="left"/>
            </w:pPr>
            <w:r>
              <w:t xml:space="preserve">SIDS Thái Bình Dương¹</w:t>
            </w:r>
          </w:p>
        </w:tc>
        <w:tc>
          <w:tcPr/>
          <w:p>
            <w:pPr>
              <w:pStyle w:val="Compact"/>
              <w:jc w:val="left"/>
            </w:pPr>
            <w:r>
              <w:t xml:space="preserve">Saudi+Qatar+Kuwait</w:t>
            </w:r>
          </w:p>
        </w:tc>
      </w:tr>
      <w:tr>
        <w:tc>
          <w:tcPr/>
          <w:p>
            <w:pPr>
              <w:pStyle w:val="Compact"/>
              <w:jc w:val="left"/>
            </w:pPr>
            <w:r>
              <w:t xml:space="preserve">n_firms</w:t>
            </w:r>
          </w:p>
        </w:tc>
        <w:tc>
          <w:tcPr/>
          <w:p>
            <w:pPr>
              <w:pStyle w:val="Compact"/>
              <w:jc w:val="left"/>
            </w:pPr>
            <w:r>
              <w:t xml:space="preserve">623</w:t>
            </w:r>
          </w:p>
        </w:tc>
        <w:tc>
          <w:tcPr/>
          <w:p>
            <w:pPr>
              <w:pStyle w:val="Compact"/>
              <w:jc w:val="left"/>
            </w:pPr>
            <w:r>
              <w:t xml:space="preserve">3.077</w:t>
            </w:r>
          </w:p>
        </w:tc>
        <w:tc>
          <w:tcPr/>
          <w:p>
            <w:pPr>
              <w:pStyle w:val="Compact"/>
              <w:jc w:val="left"/>
            </w:pPr>
            <w:r>
              <w:t xml:space="preserve">4.889</w:t>
            </w:r>
          </w:p>
        </w:tc>
        <w:tc>
          <w:tcPr/>
          <w:p>
            <w:pPr>
              <w:pStyle w:val="Compact"/>
              <w:jc w:val="left"/>
            </w:pPr>
            <w:r>
              <w:t xml:space="preserve">42.278</w:t>
            </w:r>
          </w:p>
        </w:tc>
        <w:tc>
          <w:tcPr/>
          <w:p>
            <w:pPr>
              <w:pStyle w:val="Compact"/>
              <w:jc w:val="left"/>
            </w:pPr>
            <w:r>
              <w:t xml:space="preserve">1.905</w:t>
            </w:r>
          </w:p>
        </w:tc>
        <w:tc>
          <w:tcPr/>
          <w:p>
            <w:pPr>
              <w:pStyle w:val="Compact"/>
              <w:jc w:val="left"/>
            </w:pPr>
            <w:r>
              <w:rPr>
                <w:bCs/>
                <w:b/>
              </w:rPr>
              <w:t xml:space="preserve">1.371</w:t>
            </w:r>
          </w:p>
        </w:tc>
        <w:tc>
          <w:tcPr/>
          <w:p>
            <w:pPr>
              <w:pStyle w:val="Compact"/>
              <w:jc w:val="left"/>
            </w:pPr>
            <w:r>
              <w:t xml:space="preserve">1.632</w:t>
            </w:r>
          </w:p>
        </w:tc>
      </w:tr>
      <w:tr>
        <w:tc>
          <w:tcPr/>
          <w:p>
            <w:pPr>
              <w:pStyle w:val="Compact"/>
              <w:jc w:val="left"/>
            </w:pPr>
            <w:r>
              <w:t xml:space="preserve">FSTS (%)</w:t>
            </w:r>
          </w:p>
        </w:tc>
        <w:tc>
          <w:tcPr/>
          <w:p>
            <w:pPr>
              <w:pStyle w:val="Compact"/>
              <w:jc w:val="left"/>
            </w:pPr>
            <w:r>
              <w:t xml:space="preserve">7,1</w:t>
            </w:r>
          </w:p>
        </w:tc>
        <w:tc>
          <w:tcPr/>
          <w:p>
            <w:pPr>
              <w:pStyle w:val="Compact"/>
              <w:jc w:val="left"/>
            </w:pPr>
            <w:r>
              <w:t xml:space="preserve">19,1</w:t>
            </w:r>
          </w:p>
        </w:tc>
        <w:tc>
          <w:tcPr/>
          <w:p>
            <w:pPr>
              <w:pStyle w:val="Compact"/>
              <w:jc w:val="left"/>
            </w:pPr>
            <w:r>
              <w:t xml:space="preserve">9,9</w:t>
            </w:r>
          </w:p>
        </w:tc>
        <w:tc>
          <w:tcPr/>
          <w:p>
            <w:pPr>
              <w:pStyle w:val="Compact"/>
              <w:jc w:val="left"/>
            </w:pPr>
            <w:r>
              <w:t xml:space="preserve">7,6</w:t>
            </w:r>
          </w:p>
        </w:tc>
        <w:tc>
          <w:tcPr/>
          <w:p>
            <w:pPr>
              <w:pStyle w:val="Compact"/>
              <w:jc w:val="left"/>
            </w:pPr>
            <w:r>
              <w:rPr>
                <w:bCs/>
                <w:b/>
              </w:rPr>
              <w:t xml:space="preserve">5,0</w:t>
            </w:r>
          </w:p>
        </w:tc>
        <w:tc>
          <w:tcPr/>
          <w:p>
            <w:pPr>
              <w:pStyle w:val="Compact"/>
              <w:jc w:val="left"/>
            </w:pPr>
            <w:r>
              <w:t xml:space="preserve">6,3</w:t>
            </w:r>
          </w:p>
        </w:tc>
        <w:tc>
          <w:tcPr/>
          <w:p>
            <w:pPr>
              <w:pStyle w:val="Compact"/>
              <w:jc w:val="left"/>
            </w:pPr>
            <w:r>
              <w:rPr>
                <w:bCs/>
                <w:b/>
              </w:rPr>
              <w:t xml:space="preserve">2,4</w:t>
            </w:r>
          </w:p>
        </w:tc>
      </w:tr>
      <w:tr>
        <w:tc>
          <w:tcPr/>
          <w:p>
            <w:pPr>
              <w:pStyle w:val="Compact"/>
              <w:jc w:val="left"/>
            </w:pPr>
            <w:r>
              <w:t xml:space="preserve">FDI ≥10% (%)</w:t>
            </w:r>
          </w:p>
        </w:tc>
        <w:tc>
          <w:tcPr/>
          <w:p>
            <w:pPr>
              <w:pStyle w:val="Compact"/>
              <w:jc w:val="left"/>
            </w:pPr>
            <w:r>
              <w:rPr>
                <w:bCs/>
                <w:b/>
              </w:rPr>
              <w:t xml:space="preserve">31,5</w:t>
            </w:r>
          </w:p>
        </w:tc>
        <w:tc>
          <w:tcPr/>
          <w:p>
            <w:pPr>
              <w:pStyle w:val="Compact"/>
              <w:jc w:val="left"/>
            </w:pPr>
            <w:r>
              <w:t xml:space="preserve">11,4</w:t>
            </w:r>
          </w:p>
        </w:tc>
        <w:tc>
          <w:tcPr/>
          <w:p>
            <w:pPr>
              <w:pStyle w:val="Compact"/>
              <w:jc w:val="left"/>
            </w:pPr>
            <w:r>
              <w:t xml:space="preserve">6,0</w:t>
            </w:r>
          </w:p>
        </w:tc>
        <w:tc>
          <w:tcPr/>
          <w:p>
            <w:pPr>
              <w:pStyle w:val="Compact"/>
              <w:jc w:val="left"/>
            </w:pPr>
            <w:r>
              <w:t xml:space="preserve">4,4</w:t>
            </w:r>
          </w:p>
        </w:tc>
        <w:tc>
          <w:tcPr/>
          <w:p>
            <w:pPr>
              <w:pStyle w:val="Compact"/>
              <w:jc w:val="left"/>
            </w:pPr>
            <w:r>
              <w:rPr>
                <w:bCs/>
                <w:b/>
              </w:rPr>
              <w:t xml:space="preserve">4,7</w:t>
            </w:r>
          </w:p>
        </w:tc>
        <w:tc>
          <w:tcPr/>
          <w:p>
            <w:pPr>
              <w:pStyle w:val="Compact"/>
              <w:jc w:val="left"/>
            </w:pPr>
            <w:r>
              <w:t xml:space="preserve">23,5</w:t>
            </w:r>
          </w:p>
        </w:tc>
        <w:tc>
          <w:tcPr/>
          <w:p>
            <w:pPr>
              <w:pStyle w:val="Compact"/>
              <w:jc w:val="left"/>
            </w:pPr>
            <w:r>
              <w:rPr>
                <w:bCs/>
                <w:b/>
              </w:rPr>
              <w:t xml:space="preserve">11,5</w:t>
            </w:r>
          </w:p>
        </w:tc>
      </w:tr>
      <w:tr>
        <w:tc>
          <w:tcPr/>
          <w:p>
            <w:pPr>
              <w:pStyle w:val="Compact"/>
              <w:jc w:val="left"/>
            </w:pPr>
            <w:r>
              <w:t xml:space="preserve">R&amp;D dương (%)</w:t>
            </w:r>
          </w:p>
        </w:tc>
        <w:tc>
          <w:tcPr/>
          <w:p>
            <w:pPr>
              <w:pStyle w:val="Compact"/>
              <w:jc w:val="left"/>
            </w:pPr>
            <w:r>
              <w:t xml:space="preserve">7,5</w:t>
            </w:r>
          </w:p>
        </w:tc>
        <w:tc>
          <w:tcPr/>
          <w:p>
            <w:pPr>
              <w:pStyle w:val="Compact"/>
              <w:jc w:val="left"/>
            </w:pPr>
            <w:r>
              <w:rPr>
                <w:bCs/>
                <w:b/>
              </w:rPr>
              <w:t xml:space="preserve">3,1</w:t>
            </w:r>
          </w:p>
        </w:tc>
        <w:tc>
          <w:tcPr/>
          <w:p>
            <w:pPr>
              <w:pStyle w:val="Compact"/>
              <w:jc w:val="left"/>
            </w:pPr>
            <w:r>
              <w:rPr>
                <w:bCs/>
                <w:b/>
              </w:rPr>
              <w:t xml:space="preserve">39,4</w:t>
            </w:r>
          </w:p>
        </w:tc>
        <w:tc>
          <w:tcPr/>
          <w:p>
            <w:pPr>
              <w:pStyle w:val="Compact"/>
              <w:jc w:val="left"/>
            </w:pPr>
            <w:r>
              <w:t xml:space="preserve">16</w:t>
            </w:r>
          </w:p>
        </w:tc>
        <w:tc>
          <w:tcPr/>
          <w:p>
            <w:pPr>
              <w:pStyle w:val="Compact"/>
              <w:jc w:val="left"/>
            </w:pPr>
            <w:r>
              <w:rPr>
                <w:bCs/>
                <w:b/>
              </w:rPr>
              <w:t xml:space="preserve">20,8</w:t>
            </w:r>
          </w:p>
        </w:tc>
        <w:tc>
          <w:tcPr/>
          <w:p>
            <w:pPr>
              <w:pStyle w:val="Compact"/>
              <w:jc w:val="left"/>
            </w:pPr>
            <w:r>
              <w:t xml:space="preserve">11,8</w:t>
            </w:r>
          </w:p>
        </w:tc>
        <w:tc>
          <w:tcPr/>
          <w:p>
            <w:pPr>
              <w:pStyle w:val="Compact"/>
              <w:jc w:val="left"/>
            </w:pPr>
            <w:r>
              <w:rPr>
                <w:bCs/>
                <w:b/>
              </w:rPr>
              <w:t xml:space="preserve">3,1</w:t>
            </w:r>
          </w:p>
        </w:tc>
      </w:tr>
      <w:tr>
        <w:tc>
          <w:tcPr/>
          <w:p>
            <w:pPr>
              <w:pStyle w:val="Compact"/>
              <w:jc w:val="left"/>
            </w:pPr>
            <w:r>
              <w:t xml:space="preserve">Website (%)</w:t>
            </w:r>
          </w:p>
        </w:tc>
        <w:tc>
          <w:tcPr/>
          <w:p>
            <w:pPr>
              <w:pStyle w:val="Compact"/>
              <w:jc w:val="left"/>
            </w:pPr>
            <w:r>
              <w:t xml:space="preserve">66,1</w:t>
            </w:r>
          </w:p>
        </w:tc>
        <w:tc>
          <w:tcPr/>
          <w:p>
            <w:pPr>
              <w:pStyle w:val="Compact"/>
              <w:jc w:val="left"/>
            </w:pPr>
            <w:r>
              <w:rPr>
                <w:bCs/>
                <w:b/>
              </w:rPr>
              <w:t xml:space="preserve">47,0</w:t>
            </w:r>
          </w:p>
        </w:tc>
        <w:tc>
          <w:tcPr/>
          <w:p>
            <w:pPr>
              <w:pStyle w:val="Compact"/>
              <w:jc w:val="left"/>
            </w:pPr>
            <w:r>
              <w:rPr>
                <w:bCs/>
                <w:b/>
              </w:rPr>
              <w:t xml:space="preserve">58,7</w:t>
            </w:r>
          </w:p>
        </w:tc>
        <w:tc>
          <w:tcPr/>
          <w:p>
            <w:pPr>
              <w:pStyle w:val="Compact"/>
              <w:jc w:val="left"/>
            </w:pPr>
            <w:r>
              <w:rPr>
                <w:bCs/>
                <w:b/>
              </w:rPr>
              <w:t xml:space="preserve">48,0</w:t>
            </w:r>
          </w:p>
        </w:tc>
        <w:tc>
          <w:tcPr/>
          <w:p>
            <w:pPr>
              <w:pStyle w:val="Compact"/>
              <w:jc w:val="left"/>
            </w:pPr>
            <w:r>
              <w:rPr>
                <w:bCs/>
                <w:b/>
              </w:rPr>
              <w:t xml:space="preserve">50,1</w:t>
            </w:r>
          </w:p>
        </w:tc>
        <w:tc>
          <w:tcPr/>
          <w:p>
            <w:pPr>
              <w:pStyle w:val="Compact"/>
              <w:jc w:val="left"/>
            </w:pPr>
            <w:r>
              <w:t xml:space="preserve">58,9</w:t>
            </w:r>
          </w:p>
        </w:tc>
        <w:tc>
          <w:tcPr/>
          <w:p>
            <w:pPr>
              <w:pStyle w:val="Compact"/>
              <w:jc w:val="left"/>
            </w:pPr>
            <w:r>
              <w:rPr>
                <w:bCs/>
                <w:b/>
              </w:rPr>
              <w:t xml:space="preserve">43,6</w:t>
            </w:r>
          </w:p>
        </w:tc>
      </w:tr>
      <w:tr>
        <w:tc>
          <w:tcPr/>
          <w:p>
            <w:pPr>
              <w:pStyle w:val="Compact"/>
              <w:jc w:val="left"/>
            </w:pPr>
            <w:r>
              <w:t xml:space="preserve">sd log năng suất</w:t>
            </w:r>
          </w:p>
        </w:tc>
        <w:tc>
          <w:tcPr/>
          <w:p>
            <w:pPr>
              <w:pStyle w:val="Compact"/>
              <w:jc w:val="left"/>
            </w:pPr>
            <w:r>
              <w:t xml:space="preserve">1,03</w:t>
            </w:r>
          </w:p>
        </w:tc>
        <w:tc>
          <w:tcPr/>
          <w:p>
            <w:pPr>
              <w:pStyle w:val="Compact"/>
              <w:jc w:val="left"/>
            </w:pPr>
            <w:r>
              <w:t xml:space="preserve">1,38</w:t>
            </w:r>
          </w:p>
        </w:tc>
        <w:tc>
          <w:tcPr/>
          <w:p>
            <w:pPr>
              <w:pStyle w:val="Compact"/>
              <w:jc w:val="left"/>
            </w:pPr>
            <w:r>
              <w:t xml:space="preserve">1,20</w:t>
            </w:r>
          </w:p>
        </w:tc>
        <w:tc>
          <w:tcPr/>
          <w:p>
            <w:pPr>
              <w:pStyle w:val="Compact"/>
              <w:jc w:val="left"/>
            </w:pPr>
            <w:r>
              <w:t xml:space="preserve">2,18</w:t>
            </w:r>
          </w:p>
        </w:tc>
        <w:tc>
          <w:tcPr/>
          <w:p>
            <w:pPr>
              <w:pStyle w:val="Compact"/>
              <w:jc w:val="left"/>
            </w:pPr>
            <w:r>
              <w:rPr>
                <w:bCs/>
                <w:b/>
              </w:rPr>
              <w:t xml:space="preserve">1,16</w:t>
            </w:r>
          </w:p>
        </w:tc>
        <w:tc>
          <w:tcPr/>
          <w:p>
            <w:pPr>
              <w:pStyle w:val="Compact"/>
              <w:jc w:val="left"/>
            </w:pPr>
            <w:r>
              <w:t xml:space="preserve">1,32</w:t>
            </w:r>
          </w:p>
        </w:tc>
        <w:tc>
          <w:tcPr/>
          <w:p>
            <w:pPr>
              <w:pStyle w:val="Compact"/>
              <w:jc w:val="left"/>
            </w:pPr>
            <w:r>
              <w:rPr>
                <w:bCs/>
                <w:b/>
              </w:rPr>
              <w:t xml:space="preserve">0,49</w:t>
            </w:r>
          </w:p>
        </w:tc>
      </w:tr>
    </w:tbl>
    <w:p>
      <w:r>
        <w:pict>
          <v:rect style="width:0;height:1.5pt" o:hralign="center" o:hrstd="t" o:hr="t"/>
        </w:pict>
      </w:r>
    </w:p>
    <w:bookmarkEnd w:id="86"/>
    <w:bookmarkEnd w:id="87"/>
    <w:bookmarkStart w:id="92" w:name="các-yếu-tố-giải-thích-sơ-bộ"/>
    <w:p>
      <w:pPr>
        <w:pStyle w:val="Heading4"/>
      </w:pPr>
      <w:r>
        <w:t xml:space="preserve">2.3.3 Các yếu tố giải thích sơ bộ</w:t>
      </w:r>
    </w:p>
    <w:p>
      <w:pPr>
        <w:pStyle w:val="FirstParagraph"/>
      </w:pPr>
      <w:r>
        <w:rPr>
          <w:bCs/>
          <w:b/>
        </w:rPr>
        <w:t xml:space="preserve">Bảng 6.1</w:t>
      </w:r>
      <w:r>
        <w:t xml:space="preserve">.</w:t>
      </w:r>
      <w:r>
        <w:t xml:space="preserve"> </w:t>
      </w:r>
      <w:r>
        <w:rPr>
          <w:iCs/>
          <w:i/>
        </w:rPr>
        <w:t xml:space="preserve">Hệ số tương quan Pearson (n=101.185).</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Yếu tố</w:t>
            </w:r>
          </w:p>
        </w:tc>
        <w:tc>
          <w:tcPr/>
          <w:p>
            <w:pPr>
              <w:pStyle w:val="Compact"/>
              <w:jc w:val="left"/>
            </w:pPr>
            <w:r>
              <w:t xml:space="preserve">Advanced</w:t>
            </w:r>
          </w:p>
        </w:tc>
        <w:tc>
          <w:tcPr/>
          <w:p>
            <w:pPr>
              <w:pStyle w:val="Compact"/>
              <w:jc w:val="left"/>
            </w:pPr>
            <w:r>
              <w:t xml:space="preserve">Upper-middle</w:t>
            </w:r>
          </w:p>
        </w:tc>
        <w:tc>
          <w:tcPr/>
          <w:p>
            <w:pPr>
              <w:pStyle w:val="Compact"/>
              <w:jc w:val="left"/>
            </w:pPr>
            <w:r>
              <w:t xml:space="preserve">Emerging</w:t>
            </w:r>
          </w:p>
        </w:tc>
        <w:tc>
          <w:tcPr/>
          <w:p>
            <w:pPr>
              <w:pStyle w:val="Compact"/>
              <w:jc w:val="left"/>
            </w:pPr>
            <w:r>
              <w:t xml:space="preserve">Frontier</w:t>
            </w:r>
          </w:p>
        </w:tc>
        <w:tc>
          <w:tcPr/>
          <w:p>
            <w:pPr>
              <w:pStyle w:val="Compact"/>
              <w:jc w:val="left"/>
            </w:pPr>
            <w:r>
              <w:t xml:space="preserve">SIDS</w:t>
            </w:r>
          </w:p>
        </w:tc>
      </w:tr>
      <w:tr>
        <w:tc>
          <w:tcPr/>
          <w:p>
            <w:pPr>
              <w:pStyle w:val="Compact"/>
              <w:jc w:val="left"/>
            </w:pPr>
            <w:r>
              <w:t xml:space="preserve">FDI ≥10%</w:t>
            </w:r>
          </w:p>
        </w:tc>
        <w:tc>
          <w:tcPr/>
          <w:p>
            <w:pPr>
              <w:pStyle w:val="Compact"/>
              <w:jc w:val="left"/>
            </w:pPr>
            <w:r>
              <w:t xml:space="preserve">−0,113</w:t>
            </w:r>
          </w:p>
        </w:tc>
        <w:tc>
          <w:tcPr/>
          <w:p>
            <w:pPr>
              <w:pStyle w:val="Compact"/>
              <w:jc w:val="left"/>
            </w:pPr>
            <w:r>
              <w:t xml:space="preserve">−0,023</w:t>
            </w:r>
          </w:p>
        </w:tc>
        <w:tc>
          <w:tcPr/>
          <w:p>
            <w:pPr>
              <w:pStyle w:val="Compact"/>
              <w:jc w:val="left"/>
            </w:pPr>
            <w:r>
              <w:t xml:space="preserve">+0,113</w:t>
            </w:r>
          </w:p>
        </w:tc>
        <w:tc>
          <w:tcPr/>
          <w:p>
            <w:pPr>
              <w:pStyle w:val="Compact"/>
              <w:jc w:val="left"/>
            </w:pPr>
            <w:r>
              <w:t xml:space="preserve">+0,068</w:t>
            </w:r>
          </w:p>
        </w:tc>
        <w:tc>
          <w:tcPr/>
          <w:p>
            <w:pPr>
              <w:pStyle w:val="Compact"/>
              <w:jc w:val="left"/>
            </w:pPr>
            <w:r>
              <w:rPr>
                <w:bCs/>
                <w:b/>
              </w:rPr>
              <w:t xml:space="preserve">+0,222</w:t>
            </w:r>
          </w:p>
        </w:tc>
      </w:tr>
      <w:tr>
        <w:tc>
          <w:tcPr/>
          <w:p>
            <w:pPr>
              <w:pStyle w:val="Compact"/>
              <w:jc w:val="left"/>
            </w:pPr>
            <w:r>
              <w:t xml:space="preserve">FSTS</w:t>
            </w:r>
          </w:p>
        </w:tc>
        <w:tc>
          <w:tcPr/>
          <w:p>
            <w:pPr>
              <w:pStyle w:val="Compact"/>
              <w:jc w:val="left"/>
            </w:pPr>
            <w:r>
              <w:rPr>
                <w:bCs/>
                <w:b/>
              </w:rPr>
              <w:t xml:space="preserve">+0,113</w:t>
            </w:r>
          </w:p>
        </w:tc>
        <w:tc>
          <w:tcPr/>
          <w:p>
            <w:pPr>
              <w:pStyle w:val="Compact"/>
              <w:jc w:val="left"/>
            </w:pPr>
            <w:r>
              <w:t xml:space="preserve">−0,086</w:t>
            </w:r>
          </w:p>
        </w:tc>
        <w:tc>
          <w:tcPr/>
          <w:p>
            <w:pPr>
              <w:pStyle w:val="Compact"/>
              <w:jc w:val="left"/>
            </w:pPr>
            <w:r>
              <w:t xml:space="preserve">+0,062</w:t>
            </w:r>
          </w:p>
        </w:tc>
        <w:tc>
          <w:tcPr/>
          <w:p>
            <w:pPr>
              <w:pStyle w:val="Compact"/>
              <w:jc w:val="left"/>
            </w:pPr>
            <w:r>
              <w:t xml:space="preserve">+0,014</w:t>
            </w:r>
          </w:p>
        </w:tc>
        <w:tc>
          <w:tcPr/>
          <w:p>
            <w:pPr>
              <w:pStyle w:val="Compact"/>
              <w:jc w:val="left"/>
            </w:pPr>
            <w:r>
              <w:t xml:space="preserve">−0,050</w:t>
            </w:r>
          </w:p>
        </w:tc>
      </w:tr>
      <w:tr>
        <w:tc>
          <w:tcPr/>
          <w:p>
            <w:pPr>
              <w:pStyle w:val="Compact"/>
              <w:jc w:val="left"/>
            </w:pPr>
            <w:r>
              <w:t xml:space="preserve">TCI (R&amp;D + ISO)</w:t>
            </w:r>
          </w:p>
        </w:tc>
        <w:tc>
          <w:tcPr/>
          <w:p>
            <w:pPr>
              <w:pStyle w:val="Compact"/>
              <w:jc w:val="left"/>
            </w:pPr>
            <w:r>
              <w:rPr>
                <w:bCs/>
                <w:b/>
              </w:rPr>
              <w:t xml:space="preserve">+0,128</w:t>
            </w:r>
          </w:p>
        </w:tc>
        <w:tc>
          <w:tcPr/>
          <w:p>
            <w:pPr>
              <w:pStyle w:val="Compact"/>
              <w:jc w:val="left"/>
            </w:pPr>
            <w:r>
              <w:t xml:space="preserve">+0,016</w:t>
            </w:r>
          </w:p>
        </w:tc>
        <w:tc>
          <w:tcPr/>
          <w:p>
            <w:pPr>
              <w:pStyle w:val="Compact"/>
              <w:jc w:val="left"/>
            </w:pPr>
            <w:r>
              <w:t xml:space="preserve">−0,029</w:t>
            </w:r>
          </w:p>
        </w:tc>
        <w:tc>
          <w:tcPr/>
          <w:p>
            <w:pPr>
              <w:pStyle w:val="Compact"/>
              <w:jc w:val="left"/>
            </w:pPr>
            <w:r>
              <w:t xml:space="preserve">+0,019</w:t>
            </w:r>
          </w:p>
        </w:tc>
        <w:tc>
          <w:tcPr/>
          <w:p>
            <w:pPr>
              <w:pStyle w:val="Compact"/>
              <w:jc w:val="left"/>
            </w:pPr>
            <w:r>
              <w:rPr>
                <w:bCs/>
                <w:b/>
              </w:rPr>
              <w:t xml:space="preserve">+0,155</w:t>
            </w:r>
          </w:p>
        </w:tc>
      </w:tr>
      <w:tr>
        <w:tc>
          <w:tcPr/>
          <w:p>
            <w:pPr>
              <w:pStyle w:val="Compact"/>
              <w:jc w:val="left"/>
            </w:pPr>
            <w:r>
              <w:t xml:space="preserve">DAI (website)</w:t>
            </w:r>
          </w:p>
        </w:tc>
        <w:tc>
          <w:tcPr/>
          <w:p>
            <w:pPr>
              <w:pStyle w:val="Compact"/>
              <w:jc w:val="left"/>
            </w:pPr>
            <w:r>
              <w:rPr>
                <w:bCs/>
                <w:b/>
              </w:rPr>
              <w:t xml:space="preserve">−0,129</w:t>
            </w:r>
          </w:p>
        </w:tc>
        <w:tc>
          <w:tcPr/>
          <w:p>
            <w:pPr>
              <w:pStyle w:val="Compact"/>
              <w:jc w:val="left"/>
            </w:pPr>
            <w:r>
              <w:t xml:space="preserve">+0,012</w:t>
            </w:r>
          </w:p>
        </w:tc>
        <w:tc>
          <w:tcPr/>
          <w:p>
            <w:pPr>
              <w:pStyle w:val="Compact"/>
              <w:jc w:val="left"/>
            </w:pPr>
            <w:r>
              <w:t xml:space="preserve">+0,016</w:t>
            </w:r>
          </w:p>
        </w:tc>
        <w:tc>
          <w:tcPr/>
          <w:p>
            <w:pPr>
              <w:pStyle w:val="Compact"/>
              <w:jc w:val="left"/>
            </w:pPr>
            <w:r>
              <w:t xml:space="preserve">+0,070</w:t>
            </w:r>
          </w:p>
        </w:tc>
        <w:tc>
          <w:tcPr/>
          <w:p>
            <w:pPr>
              <w:pStyle w:val="Compact"/>
              <w:jc w:val="left"/>
            </w:pPr>
            <w:r>
              <w:t xml:space="preserve">−0,049</w:t>
            </w:r>
          </w:p>
        </w:tc>
      </w:tr>
    </w:tbl>
    <w:p>
      <w:pPr>
        <w:pStyle w:val="BodyText"/>
      </w:pPr>
      <w:r>
        <w:rPr>
          <w:bCs/>
          <w:b/>
        </w:rPr>
        <w:t xml:space="preserve">Sáu phát hiện chính</w:t>
      </w:r>
      <w:r>
        <w:t xml:space="preserve">: (1) FDI dương mạnh ở SIDS (+0,222); (2) FDI âm ở Advanced; (3) FSTS dương ở Advanced, phù hợp Uppsala và OLI; (4) TCI dương ở SIDS và Advanced; (5) DAI âm ở Advanced do Tier-1 saturation; (6) đảo dấu cross-regime, phản ánh institutional moderation.</w:t>
      </w:r>
    </w:p>
    <w:p>
      <w:pPr>
        <w:pStyle w:val="BodyText"/>
      </w:pPr>
      <w:r>
        <w:rPr>
          <w:bCs/>
          <w:b/>
        </w:rPr>
        <w:t xml:space="preserve">Cảnh báo schema BREADY 2025</w:t>
      </w:r>
      <w:r>
        <w:t xml:space="preserve">: bảng 6.1 có thể bị nhiễu schema effect, cần kiểm chứng qua hệ thống</w:t>
      </w:r>
      <w:r>
        <w:t xml:space="preserve"> </w:t>
      </w:r>
      <w:r>
        <w:t xml:space="preserve">“</w:t>
      </w:r>
      <w:r>
        <w:t xml:space="preserve">triple-defense</w:t>
      </w:r>
      <w:r>
        <w:t xml:space="preserve">”</w:t>
      </w:r>
      <w:r>
        <w:t xml:space="preserve"> </w:t>
      </w:r>
      <w:r>
        <w:t xml:space="preserve">ở Mục 4.11 mục §2.3.1 chuyên đề.</w:t>
      </w:r>
    </w:p>
    <w:p>
      <w:pPr>
        <w:pStyle w:val="BodyText"/>
      </w:pPr>
      <w:r>
        <w:rPr>
          <w:bCs/>
          <w:b/>
        </w:rPr>
        <w:t xml:space="preserve">Lý giải dị biệt cross-regime qua Xu (2024) de jure-de facto</w:t>
      </w:r>
      <w:r>
        <w:t xml:space="preserve">: khoảng cách giữa formal và enforcement giải thích cho việc FDI đảo dấu giữa Emerging và Advanced.</w:t>
      </w:r>
    </w:p>
    <w:p>
      <w:pPr>
        <w:pStyle w:val="BodyText"/>
      </w:pPr>
      <w:r>
        <w:rPr>
          <w:bCs/>
          <w:b/>
        </w:rPr>
        <w:t xml:space="preserve">Lý giải bổ sung: Institutional Transaction Costs xuyên quốc gia (khung TCE Coase-Williamson, mở rộng từ Banalieva &amp; Dhanaraj 2019)</w:t>
      </w:r>
      <w:r>
        <w:t xml:space="preserve">: Việc đối chiếu phân tích Singapore và phân tích Việt Nam cho thấy dị biệt cross-regime trong Bảng 6.1 không chỉ phản ánh chất lượng thể chế formal mà còn phản ánh</w:t>
      </w:r>
      <w:r>
        <w:t xml:space="preserve"> </w:t>
      </w:r>
      <w:r>
        <w:rPr>
          <w:bCs/>
          <w:b/>
        </w:rPr>
        <w:t xml:space="preserve">chi phí giao dịch thể chế (institutional transaction costs)</w:t>
      </w:r>
      <w:r>
        <w:t xml:space="preserve">, vốn đo lường hạ tầng thương mại, logistics và năng lực hấp thụ chi phí điều phối xuyên biên giới (cross-border coordination cost absorption). Khung CDCM (Mục 2.7 mục §2.1–§2.2 chuyên đề) hợp nhất 3 chiều xuyên quốc gia như sau:</w:t>
      </w:r>
    </w:p>
    <w:p>
      <w:pPr>
        <w:pStyle w:val="BodyText"/>
      </w:pPr>
      <w:r>
        <w:rPr>
          <w:bCs/>
          <w:b/>
        </w:rPr>
        <w:t xml:space="preserve">Bảng 6.1.2</w:t>
      </w:r>
      <w:r>
        <w:t xml:space="preserve">.</w:t>
      </w:r>
      <w:r>
        <w:t xml:space="preserve"> </w:t>
      </w:r>
      <w:r>
        <w:rPr>
          <w:iCs/>
          <w:i/>
        </w:rPr>
        <w:t xml:space="preserve">Đối chiếu I-P curve + cơ chế DAI/TCI giữa Việt Nam vs Singapore, bằng chứng cho khung CDCM.</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Chiều</w:t>
            </w:r>
          </w:p>
        </w:tc>
        <w:tc>
          <w:tcPr/>
          <w:p>
            <w:pPr>
              <w:pStyle w:val="Compact"/>
              <w:jc w:val="left"/>
            </w:pPr>
            <w:r>
              <w:rPr>
                <w:bCs/>
                <w:b/>
              </w:rPr>
              <w:t xml:space="preserve">Việt Nam (Emerging, n=2.958, 3 wave)</w:t>
            </w:r>
          </w:p>
        </w:tc>
        <w:tc>
          <w:tcPr/>
          <w:p>
            <w:pPr>
              <w:pStyle w:val="Compact"/>
              <w:jc w:val="left"/>
            </w:pPr>
            <w:r>
              <w:rPr>
                <w:bCs/>
                <w:b/>
              </w:rPr>
              <w:t xml:space="preserve">Singapore (Advanced innovation, n=623, 1 wave)</w:t>
            </w:r>
          </w:p>
        </w:tc>
      </w:tr>
      <w:tr>
        <w:tc>
          <w:tcPr/>
          <w:p>
            <w:pPr>
              <w:pStyle w:val="Compact"/>
              <w:jc w:val="left"/>
            </w:pPr>
            <w:r>
              <w:rPr>
                <w:bCs/>
                <w:b/>
              </w:rPr>
              <w:t xml:space="preserve">Hình dáng I-P curve</w:t>
            </w:r>
          </w:p>
        </w:tc>
        <w:tc>
          <w:tcPr/>
          <w:p>
            <w:pPr>
              <w:pStyle w:val="Compact"/>
              <w:jc w:val="left"/>
            </w:pPr>
            <w:r>
              <w:rPr>
                <w:bCs/>
                <w:b/>
              </w:rPr>
              <w:t xml:space="preserve">Inverted-U rõ nét</w:t>
            </w:r>
            <w:r>
              <w:t xml:space="preserve"> </w:t>
            </w:r>
            <w:r>
              <w:t xml:space="preserve">— điểm uốn (TP) ≈ 39-46% FSTS xuyên 3 wave 2009-2023; Lind-Mehlum p&lt;0,013</w:t>
            </w:r>
          </w:p>
        </w:tc>
        <w:tc>
          <w:tcPr/>
          <w:p>
            <w:pPr>
              <w:pStyle w:val="Compact"/>
              <w:jc w:val="left"/>
            </w:pPr>
            <w:r>
              <w:rPr>
                <w:bCs/>
                <w:b/>
              </w:rPr>
              <w:t xml:space="preserve">Tuyến tính dương + bậc hai nhẹ</w:t>
            </w:r>
            <w:r>
              <w:t xml:space="preserve"> </w:t>
            </w:r>
            <w:r>
              <w:t xml:space="preserve">— TP ≈ 82% FSTS (vùng dữ liệu thưa, 3,2% firms vượt 70% FSTS); Lind-Mehlum p=0,303 KHÔNG xác nhận</w:t>
            </w:r>
          </w:p>
        </w:tc>
      </w:tr>
      <w:tr>
        <w:tc>
          <w:tcPr/>
          <w:p>
            <w:pPr>
              <w:pStyle w:val="Compact"/>
              <w:jc w:val="left"/>
            </w:pPr>
            <w:r>
              <w:rPr>
                <w:bCs/>
                <w:b/>
              </w:rPr>
              <w:t xml:space="preserve">Cơ chế DAI</w:t>
            </w:r>
          </w:p>
        </w:tc>
        <w:tc>
          <w:tcPr/>
          <w:p>
            <w:pPr>
              <w:pStyle w:val="Compact"/>
              <w:jc w:val="left"/>
            </w:pPr>
            <w:r>
              <w:rPr>
                <w:bCs/>
                <w:b/>
              </w:rPr>
              <w:t xml:space="preserve">Stage-contingent</w:t>
            </w:r>
            <w:r>
              <w:t xml:space="preserve"> </w:t>
            </w:r>
            <w:r>
              <w:t xml:space="preserve">(Tier 1 = website only): mạnh 2009, null 2015, âm 2023 (β=-0,912, p=,043) ở DAI×FSTS, trở thành</w:t>
            </w:r>
            <w:r>
              <w:t xml:space="preserve"> </w:t>
            </w:r>
            <w:r>
              <w:rPr>
                <w:bCs/>
                <w:b/>
              </w:rPr>
              <w:t xml:space="preserve">điểm nghẽn ở xuất khẩu cao</w:t>
            </w:r>
          </w:p>
        </w:tc>
        <w:tc>
          <w:tcPr/>
          <w:p>
            <w:pPr>
              <w:pStyle w:val="Compact"/>
              <w:jc w:val="left"/>
            </w:pPr>
            <w:r>
              <w:rPr>
                <w:bCs/>
                <w:b/>
              </w:rPr>
              <w:t xml:space="preserve">Conditional scaling</w:t>
            </w:r>
            <w:r>
              <w:t xml:space="preserve"> </w:t>
            </w:r>
            <w:r>
              <w:t xml:space="preserve">(Tier 1+2 = website + e-payment): DAI×FSTS² β=3,119 p=,005 dương mạnh, trở thành</w:t>
            </w:r>
            <w:r>
              <w:t xml:space="preserve"> </w:t>
            </w:r>
            <w:r>
              <w:rPr>
                <w:bCs/>
                <w:b/>
              </w:rPr>
              <w:t xml:space="preserve">đòn bẩy ở xuất khẩu cao</w:t>
            </w:r>
          </w:p>
        </w:tc>
      </w:tr>
      <w:tr>
        <w:tc>
          <w:tcPr/>
          <w:p>
            <w:pPr>
              <w:pStyle w:val="Compact"/>
              <w:jc w:val="left"/>
            </w:pPr>
            <w:r>
              <w:rPr>
                <w:bCs/>
                <w:b/>
              </w:rPr>
              <w:t xml:space="preserve">2SLS DAI robustness</w:t>
            </w:r>
          </w:p>
        </w:tc>
        <w:tc>
          <w:tcPr/>
          <w:p>
            <w:pPr>
              <w:pStyle w:val="Compact"/>
              <w:jc w:val="left"/>
            </w:pPr>
            <w:r>
              <w:t xml:space="preserve">β co về 0,02, p=,94, tức</w:t>
            </w:r>
            <w:r>
              <w:t xml:space="preserve"> </w:t>
            </w:r>
            <w:r>
              <w:rPr>
                <w:bCs/>
                <w:b/>
              </w:rPr>
              <w:t xml:space="preserve">không xác lập nhân quả</w:t>
            </w:r>
          </w:p>
        </w:tc>
        <w:tc>
          <w:tcPr/>
          <w:p>
            <w:pPr>
              <w:pStyle w:val="Compact"/>
              <w:jc w:val="left"/>
            </w:pPr>
            <w:r>
              <w:t xml:space="preserve">(chưa kiểm định IV)</w:t>
            </w:r>
          </w:p>
        </w:tc>
      </w:tr>
      <w:tr>
        <w:tc>
          <w:tcPr/>
          <w:p>
            <w:pPr>
              <w:pStyle w:val="Compact"/>
              <w:jc w:val="left"/>
            </w:pPr>
            <w:r>
              <w:rPr>
                <w:bCs/>
                <w:b/>
              </w:rPr>
              <w:t xml:space="preserve">Vai trò TCI</w:t>
            </w:r>
          </w:p>
        </w:tc>
        <w:tc>
          <w:tcPr/>
          <w:p>
            <w:pPr>
              <w:pStyle w:val="Compact"/>
              <w:jc w:val="left"/>
            </w:pPr>
            <w:r>
              <w:rPr>
                <w:bCs/>
                <w:b/>
              </w:rPr>
              <w:t xml:space="preserve">Scarce advantage</w:t>
            </w:r>
            <w:r>
              <w:t xml:space="preserve"> </w:t>
            </w:r>
            <w:r>
              <w:t xml:space="preserve">— TCIz IV β=1,639 p&lt;,001 robust 2SLS; điều tiết làm phẳng I-P curve (3/4 mô hình significant)</w:t>
            </w:r>
          </w:p>
        </w:tc>
        <w:tc>
          <w:tcPr/>
          <w:p>
            <w:pPr>
              <w:pStyle w:val="Compact"/>
              <w:jc w:val="left"/>
            </w:pPr>
            <w:r>
              <w:rPr>
                <w:bCs/>
                <w:b/>
              </w:rPr>
              <w:t xml:space="preserve">Hygiene factor</w:t>
            </w:r>
            <w:r>
              <w:t xml:space="preserve"> </w:t>
            </w:r>
            <w:r>
              <w:t xml:space="preserve">— direct β=0,168 p&lt;,001 nhưng KHÔNG điều tiết I-P curve significantly</w:t>
            </w:r>
          </w:p>
        </w:tc>
      </w:tr>
    </w:tbl>
    <w:p>
      <w:pPr>
        <w:pStyle w:val="BodyText"/>
      </w:pPr>
      <w:r>
        <w:rPr>
          <w:bCs/>
          <w:b/>
        </w:rPr>
        <w:t xml:space="preserve">Lý giải Institutional Transaction Costs (TCE)</w:t>
      </w:r>
      <w:r>
        <w:t xml:space="preserve">: Ở Việt Nam, hạ tầng thương mại số yếu (chỉ Tier 1) khiến chi phí điều phối xuyên biên giới (cross-border coordination cost) tăng vọt theo siêu tuyến tính (super-linearly, Brynjolfsson &amp; McAfee, 2014) ngay ở mức xuất khẩu trung bình, qua đó đẩy điểm uốn (TP) về vùng FSTS thấp 39-46%. Ở Singapore, hạ tầng số (Tier 1+2 gồm website, e-payment và integrated logistics) đã hấp thụ phần lớn chi phí này, đẩy ranh giới quá tải (overload boundary) về vùng FSTS cực cao khoảng 82%. Vì vậy,</w:t>
      </w:r>
      <w:r>
        <w:t xml:space="preserve"> </w:t>
      </w:r>
      <w:r>
        <w:rPr>
          <w:bCs/>
          <w:b/>
        </w:rPr>
        <w:t xml:space="preserve">bằng chứng</w:t>
      </w:r>
      <w:r>
        <w:rPr>
          <w:bCs/>
          <w:b/>
        </w:rPr>
        <w:t xml:space="preserve"> </w:t>
      </w:r>
      <w:r>
        <w:rPr>
          <w:bCs/>
          <w:b/>
        </w:rPr>
        <w:t xml:space="preserve">“</w:t>
      </w:r>
      <w:r>
        <w:rPr>
          <w:bCs/>
          <w:b/>
        </w:rPr>
        <w:t xml:space="preserve">đường cong U ngược nghẹt thở</w:t>
      </w:r>
      <w:r>
        <w:rPr>
          <w:bCs/>
          <w:b/>
        </w:rPr>
        <w:t xml:space="preserve">”</w:t>
      </w:r>
      <w:r>
        <w:rPr>
          <w:bCs/>
          <w:b/>
        </w:rPr>
        <w:t xml:space="preserve"> </w:t>
      </w:r>
      <w:r>
        <w:rPr>
          <w:bCs/>
          <w:b/>
        </w:rPr>
        <w:t xml:space="preserve">của Lu &amp; Beamish (2004) chỉ vận hành ở các nước có institutional transaction costs ở mức trung bình đến cao</w:t>
      </w:r>
      <w:r>
        <w:t xml:space="preserve">, nơi chi phí điều phối phi tuyến đủ lớn để tạo turnaround point trong vùng FSTS quan sát được; còn ở các nước có hạ tầng số trưởng thành, U-curve bị</w:t>
      </w:r>
      <w:r>
        <w:t xml:space="preserve"> </w:t>
      </w:r>
      <w:r>
        <w:t xml:space="preserve">“</w:t>
      </w:r>
      <w:r>
        <w:t xml:space="preserve">kéo dãn</w:t>
      </w:r>
      <w:r>
        <w:t xml:space="preserve">”</w:t>
      </w:r>
      <w:r>
        <w:t xml:space="preserve"> </w:t>
      </w:r>
      <w:r>
        <w:t xml:space="preserve">về phía cực đoan và có thể không quan sát được trong dữ liệu thực tế.</w:t>
      </w:r>
    </w:p>
    <w:p>
      <w:pPr>
        <w:pStyle w:val="BodyText"/>
      </w:pPr>
      <w:r>
        <w:rPr>
          <w:bCs/>
          <w:b/>
        </w:rPr>
        <w:t xml:space="preserve">Hàm ý cho khung CDCM (Context-Contingent Digital Capability Model)</w:t>
      </w:r>
      <w:r>
        <w:t xml:space="preserve">: Khung này đưa ra ba dự đoán cho CĐ2 và luận án 5 chương. Một là</w:t>
      </w:r>
      <w:r>
        <w:t xml:space="preserve"> </w:t>
      </w:r>
      <w:r>
        <w:rPr>
          <w:bCs/>
          <w:b/>
        </w:rPr>
        <w:t xml:space="preserve">41 nước châu Á</w:t>
      </w:r>
      <w:r>
        <w:t xml:space="preserve"> </w:t>
      </w:r>
      <w:r>
        <w:t xml:space="preserve">sẽ tạo thành một continuum institutional transaction costs, trải từ Singapore (cực thấp), qua Việt Nam và Indonesia (trung bình), đến Mongolia, Pakistan và Bangladesh (cao). Hai là điểm uốn TP của đường cong I-P sẽ tương quan ngược với mức trưởng thành hạ tầng số quốc gia (đo qua DAI Tier 1+2 trung bình quốc gia). Ba là vai trò của TCI sẽ chuyển từ scarce advantage (ở các nước transaction cost cao) sang hygiene factor (ở các nước transaction cost thấp), qua đó xác nhận giả thuyết H7 về tương tác industry × institutional dynamism của Kafouros et al. (2023). Đây là</w:t>
      </w:r>
      <w:r>
        <w:t xml:space="preserve"> </w:t>
      </w:r>
      <w:r>
        <w:rPr>
          <w:bCs/>
          <w:b/>
        </w:rPr>
        <w:t xml:space="preserve">đóng góp lý thuyết mới</w:t>
      </w:r>
      <w:r>
        <w:t xml:space="preserve"> </w:t>
      </w:r>
      <w:r>
        <w:t xml:space="preserve">cho luận án, tức việc lặp lại CDCM xuyên 41 nước châu Á.</w:t>
      </w:r>
    </w:p>
    <w:p>
      <w:pPr>
        <w:pStyle w:val="BodyText"/>
      </w:pPr>
      <w:r>
        <w:rPr>
          <w:bCs/>
          <w:b/>
        </w:rPr>
        <w:t xml:space="preserve">Tham chiếu</w:t>
      </w:r>
      <w:r>
        <w:t xml:space="preserve">: Coase (1937); Williamson (1985); Brynjolfsson &amp; McAfee (2014); Banalieva &amp; Dhanaraj (2019); Kafouros et al. (2023); Đỗ &amp; Phan (2026, phân tích Việt Nam,</w:t>
      </w:r>
      <w:r>
        <w:t xml:space="preserve"> </w:t>
      </w:r>
      <w:r>
        <w:rPr>
          <w:iCs/>
          <w:i/>
        </w:rPr>
        <w:t xml:space="preserve">APJM</w:t>
      </w:r>
      <w:r>
        <w:t xml:space="preserve">); Mục 2.7 mục §2.1–§2.2 chuyên đề (Khung 4-Tier Verhoef + CDCM).</w:t>
      </w:r>
    </w:p>
    <w:p>
      <w:pPr>
        <w:pStyle w:val="BodyText"/>
      </w:pPr>
      <w:r>
        <w:rPr>
          <w:bCs/>
          <w:b/>
        </w:rPr>
        <w:t xml:space="preserve">Hiệu ứng đẩy nhanh giao hàng và bất định chính sách thuế quan trong khung ICRV (front-loading effect và tariff uncertainty)</w:t>
      </w:r>
      <w:r>
        <w:t xml:space="preserve">: Theo ghi chú phân tích nội bộ của tác giả (2026), bất định chính sách thuế quan Mỹ 2026 (xem Lớp 7 ở Mục 1.1 mục §2.1–§2.2 chuyên đề) tạo ra</w:t>
      </w:r>
      <w:r>
        <w:t xml:space="preserve"> </w:t>
      </w:r>
      <w:r>
        <w:rPr>
          <w:bCs/>
          <w:b/>
        </w:rPr>
        <w:t xml:space="preserve">hiệu ứng đẩy nhanh giao hàng (front-loading effect)</w:t>
      </w:r>
      <w:r>
        <w:t xml:space="preserve">, khi doanh nghiệp xuất khẩu Việt Nam đẩy nhanh giao hàng ngắn hạn nhằm tận dụng cửa sổ thuế thấp 10% trước khi mức thuế tăng lên 15% trong nửa cuối 2026. Hậu quả là doanh thu xuất khẩu tăng ngắn hạn trong 2025 (đóng góp vào GDP 8,0%) nhưng lại làm giảm đà tăng trưởng 2026-2027 do hợp đồng tương lai bị</w:t>
      </w:r>
      <w:r>
        <w:t xml:space="preserve"> </w:t>
      </w:r>
      <w:r>
        <w:t xml:space="preserve">“</w:t>
      </w:r>
      <w:r>
        <w:t xml:space="preserve">ăn trước</w:t>
      </w:r>
      <w:r>
        <w:t xml:space="preserve">”</w:t>
      </w:r>
      <w:r>
        <w:t xml:space="preserve">. Trong khung ICRV, việc đẩy nhanh giao hàng cộng với bất định chính sách vận hành như một</w:t>
      </w:r>
      <w:r>
        <w:t xml:space="preserve"> </w:t>
      </w:r>
      <w:r>
        <w:rPr>
          <w:bCs/>
          <w:b/>
        </w:rPr>
        <w:t xml:space="preserve">cú sốc ngoại sinh (exogenous shock)</w:t>
      </w:r>
      <w:r>
        <w:t xml:space="preserve"> </w:t>
      </w:r>
      <w:r>
        <w:t xml:space="preserve">đảo dấu hệ số FSTS giữa hai nhóm. Với (a)</w:t>
      </w:r>
      <w:r>
        <w:t xml:space="preserve"> </w:t>
      </w:r>
      <w:r>
        <w:rPr>
          <w:bCs/>
          <w:b/>
        </w:rPr>
        <w:t xml:space="preserve">nhóm Emerging có năng lực FDI cao</w:t>
      </w:r>
      <w:r>
        <w:t xml:space="preserve"> </w:t>
      </w:r>
      <w:r>
        <w:t xml:space="preserve">(doanh nghiệp FDI sản xuất chế biến tại Việt Nam), khả năng đẩy nhanh và phòng ngừa rủi ro tốt khiến tương quan FSTS với năng suất dương mạnh trong ngắn hạn 2025, rồi đảo chiều âm trong 2026-2027 do</w:t>
      </w:r>
      <w:r>
        <w:t xml:space="preserve"> </w:t>
      </w:r>
      <w:r>
        <w:rPr>
          <w:bCs/>
          <w:b/>
        </w:rPr>
        <w:t xml:space="preserve">cạn kiệt đơn hàng tương lai (exhaustion of forward orders)</w:t>
      </w:r>
      <w:r>
        <w:t xml:space="preserve">. Với (b)</w:t>
      </w:r>
      <w:r>
        <w:t xml:space="preserve"> </w:t>
      </w:r>
      <w:r>
        <w:rPr>
          <w:bCs/>
          <w:b/>
        </w:rPr>
        <w:t xml:space="preserve">nhóm Emerging có năng lực FDI thấp</w:t>
      </w:r>
      <w:r>
        <w:t xml:space="preserve"> </w:t>
      </w:r>
      <w:r>
        <w:t xml:space="preserve">(doanh nghiệp nội địa SME thiếu</w:t>
      </w:r>
      <w:r>
        <w:t xml:space="preserve"> </w:t>
      </w:r>
      <w:r>
        <w:rPr>
          <w:bCs/>
          <w:b/>
        </w:rPr>
        <w:t xml:space="preserve">tồn kho dự phòng (buffer inventory)</w:t>
      </w:r>
      <w:r>
        <w:t xml:space="preserve">), việc không thể đẩy nhanh giao hàng khiến tương quan FSTS với năng suất yếu hoặc âm ở cả 2 giai đoạn. Về</w:t>
      </w:r>
      <w:r>
        <w:t xml:space="preserve"> </w:t>
      </w:r>
      <w:r>
        <w:rPr>
          <w:bCs/>
          <w:b/>
        </w:rPr>
        <w:t xml:space="preserve">sự phân hóa giữa doanh nghiệp lớn và SME</w:t>
      </w:r>
      <w:r>
        <w:t xml:space="preserve">: tập đoàn lớn hấp thụ chi phí thuế quan qua đa thị trường và phòng ngừa tài chính (financial hedging), trong khi SME phải chọn giữa tự hấp thụ chi phí (giảm biên lợi nhuận) hoặc chuyển giá cho khách hàng (mất đơn hàng). Hàm ý cho CĐ2 là bổ sung</w:t>
      </w:r>
      <w:r>
        <w:t xml:space="preserve"> </w:t>
      </w:r>
      <w:r>
        <w:rPr>
          <w:bCs/>
          <w:b/>
        </w:rPr>
        <w:t xml:space="preserve">biến</w:t>
      </w:r>
      <w:r>
        <w:rPr>
          <w:bCs/>
          <w:b/>
        </w:rPr>
        <w:t xml:space="preserve"> </w:t>
      </w:r>
      <w:r>
        <w:rPr>
          <w:rStyle w:val="VerbatimChar"/>
          <w:bCs/>
          <w:b/>
        </w:rPr>
        <w:t xml:space="preserve">Tariff_Front_Loading_2025_2026</w:t>
      </w:r>
      <w:r>
        <w:t xml:space="preserve"> </w:t>
      </w:r>
      <w:r>
        <w:t xml:space="preserve">(proxy: tỷ trọng xuất khẩu sang Mỹ nhân với thời điểm giao hàng quý 1-2 năm 2026) vào kiểm định độ vững (robustness check) #8 về đẩy nhanh giao hàng được hiệu chỉnh (front-loading-adjusted re-estimation).</w:t>
      </w:r>
    </w:p>
    <w:bookmarkStart w:id="88" w:name="X91b9fe7408792a1402d97f763d72aec517b45c6"/>
    <w:p>
      <w:pPr>
        <w:pStyle w:val="Heading5"/>
      </w:pPr>
      <w:r>
        <w:t xml:space="preserve">2.3.3.1 Pattern giới tính trong quản lý + sở hữu — bằng chứng EAP châu Á dẫn đầu</w:t>
      </w:r>
    </w:p>
    <w:p>
      <w:pPr>
        <w:pStyle w:val="FirstParagraph"/>
      </w:pPr>
      <w:r>
        <w:rPr>
          <w:bCs/>
          <w:b/>
        </w:rPr>
        <w:t xml:space="preserve">Bảng 6.1.1</w:t>
      </w:r>
      <w:r>
        <w:t xml:space="preserve">.</w:t>
      </w:r>
      <w:r>
        <w:t xml:space="preserve"> </w:t>
      </w:r>
      <w:r>
        <w:rPr>
          <w:iCs/>
          <w:i/>
        </w:rPr>
        <w:t xml:space="preserve">Pattern giới tính trong TMT + ownership, phân tầng theo khu vực địa lý.</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Khu vực</w:t>
            </w:r>
          </w:p>
        </w:tc>
        <w:tc>
          <w:tcPr/>
          <w:p>
            <w:pPr>
              <w:pStyle w:val="Compact"/>
              <w:jc w:val="left"/>
            </w:pPr>
            <w:r>
              <w:t xml:space="preserve">% nữ TMT (cấp cao)</w:t>
            </w:r>
          </w:p>
        </w:tc>
        <w:tc>
          <w:tcPr/>
          <w:p>
            <w:pPr>
              <w:pStyle w:val="Compact"/>
              <w:jc w:val="left"/>
            </w:pPr>
            <w:r>
              <w:t xml:space="preserve">% nữ ownership majority</w:t>
            </w:r>
          </w:p>
        </w:tc>
        <w:tc>
          <w:tcPr/>
          <w:p>
            <w:pPr>
              <w:pStyle w:val="Compact"/>
              <w:jc w:val="left"/>
            </w:pPr>
            <w:r>
              <w:t xml:space="preserve">Khoảng cách (TMT – Owner)</w:t>
            </w:r>
          </w:p>
        </w:tc>
      </w:tr>
      <w:tr>
        <w:tc>
          <w:tcPr/>
          <w:p>
            <w:pPr>
              <w:pStyle w:val="Compact"/>
              <w:jc w:val="left"/>
            </w:pPr>
            <w:r>
              <w:rPr>
                <w:bCs/>
                <w:b/>
              </w:rPr>
              <w:t xml:space="preserve">East Asia &amp; Pacific (EAP)</w:t>
            </w:r>
          </w:p>
        </w:tc>
        <w:tc>
          <w:tcPr/>
          <w:p>
            <w:pPr>
              <w:pStyle w:val="Compact"/>
              <w:jc w:val="left"/>
            </w:pPr>
            <w:r>
              <w:rPr>
                <w:bCs/>
                <w:b/>
              </w:rPr>
              <w:t xml:space="preserve">33,4%</w:t>
            </w:r>
            <w:r>
              <w:t xml:space="preserve"> </w:t>
            </w:r>
            <w:r>
              <w:rPr>
                <w:iCs/>
                <w:i/>
              </w:rPr>
              <w:t xml:space="preserve">(dẫn đầu globally)</w:t>
            </w:r>
          </w:p>
        </w:tc>
        <w:tc>
          <w:tcPr/>
          <w:p>
            <w:pPr>
              <w:pStyle w:val="Compact"/>
              <w:jc w:val="left"/>
            </w:pPr>
            <w:r>
              <w:rPr>
                <w:bCs/>
                <w:b/>
              </w:rPr>
              <w:t xml:space="preserve">25,7%</w:t>
            </w:r>
            <w:r>
              <w:t xml:space="preserve"> </w:t>
            </w:r>
            <w:r>
              <w:rPr>
                <w:iCs/>
                <w:i/>
              </w:rPr>
              <w:t xml:space="preserve">(dẫn đầu globally)</w:t>
            </w:r>
          </w:p>
        </w:tc>
        <w:tc>
          <w:tcPr/>
          <w:p>
            <w:pPr>
              <w:pStyle w:val="Compact"/>
              <w:jc w:val="left"/>
            </w:pPr>
            <w:r>
              <w:t xml:space="preserve">+7,7 đpt</w:t>
            </w:r>
          </w:p>
        </w:tc>
      </w:tr>
      <w:tr>
        <w:tc>
          <w:tcPr/>
          <w:p>
            <w:pPr>
              <w:pStyle w:val="Compact"/>
              <w:jc w:val="left"/>
            </w:pPr>
            <w:r>
              <w:t xml:space="preserve">Latin America &amp; Caribbean</w:t>
            </w:r>
          </w:p>
        </w:tc>
        <w:tc>
          <w:tcPr/>
          <w:p>
            <w:pPr>
              <w:pStyle w:val="Compact"/>
              <w:jc w:val="left"/>
            </w:pPr>
            <w:r>
              <w:t xml:space="preserve">27,8%</w:t>
            </w:r>
          </w:p>
        </w:tc>
        <w:tc>
          <w:tcPr/>
          <w:p>
            <w:pPr>
              <w:pStyle w:val="Compact"/>
              <w:jc w:val="left"/>
            </w:pPr>
            <w:r>
              <w:t xml:space="preserve">18,3%</w:t>
            </w:r>
          </w:p>
        </w:tc>
        <w:tc>
          <w:tcPr/>
          <w:p>
            <w:pPr>
              <w:pStyle w:val="Compact"/>
              <w:jc w:val="left"/>
            </w:pPr>
            <w:r>
              <w:t xml:space="preserve">+9,5 đpt</w:t>
            </w:r>
          </w:p>
        </w:tc>
      </w:tr>
      <w:tr>
        <w:tc>
          <w:tcPr/>
          <w:p>
            <w:pPr>
              <w:pStyle w:val="Compact"/>
              <w:jc w:val="left"/>
            </w:pPr>
            <w:r>
              <w:t xml:space="preserve">Sub-Saharan Africa</w:t>
            </w:r>
          </w:p>
        </w:tc>
        <w:tc>
          <w:tcPr/>
          <w:p>
            <w:pPr>
              <w:pStyle w:val="Compact"/>
              <w:jc w:val="left"/>
            </w:pPr>
            <w:r>
              <w:t xml:space="preserve">21,3%</w:t>
            </w:r>
          </w:p>
        </w:tc>
        <w:tc>
          <w:tcPr/>
          <w:p>
            <w:pPr>
              <w:pStyle w:val="Compact"/>
              <w:jc w:val="left"/>
            </w:pPr>
            <w:r>
              <w:t xml:space="preserve">14,9%</w:t>
            </w:r>
          </w:p>
        </w:tc>
        <w:tc>
          <w:tcPr/>
          <w:p>
            <w:pPr>
              <w:pStyle w:val="Compact"/>
              <w:jc w:val="left"/>
            </w:pPr>
            <w:r>
              <w:t xml:space="preserve">+6,4 đpt</w:t>
            </w:r>
          </w:p>
        </w:tc>
      </w:tr>
      <w:tr>
        <w:tc>
          <w:tcPr/>
          <w:p>
            <w:pPr>
              <w:pStyle w:val="Compact"/>
              <w:jc w:val="left"/>
            </w:pPr>
            <w:r>
              <w:t xml:space="preserve">Europe &amp; Central Asia</w:t>
            </w:r>
          </w:p>
        </w:tc>
        <w:tc>
          <w:tcPr/>
          <w:p>
            <w:pPr>
              <w:pStyle w:val="Compact"/>
              <w:jc w:val="left"/>
            </w:pPr>
            <w:r>
              <w:t xml:space="preserve">19,8%</w:t>
            </w:r>
          </w:p>
        </w:tc>
        <w:tc>
          <w:tcPr/>
          <w:p>
            <w:pPr>
              <w:pStyle w:val="Compact"/>
              <w:jc w:val="left"/>
            </w:pPr>
            <w:r>
              <w:t xml:space="preserve">12,1%</w:t>
            </w:r>
          </w:p>
        </w:tc>
        <w:tc>
          <w:tcPr/>
          <w:p>
            <w:pPr>
              <w:pStyle w:val="Compact"/>
              <w:jc w:val="left"/>
            </w:pPr>
            <w:r>
              <w:t xml:space="preserve">+7,7 đpt</w:t>
            </w:r>
          </w:p>
        </w:tc>
      </w:tr>
      <w:tr>
        <w:tc>
          <w:tcPr/>
          <w:p>
            <w:pPr>
              <w:pStyle w:val="Compact"/>
              <w:jc w:val="left"/>
            </w:pPr>
            <w:r>
              <w:t xml:space="preserve">South Asia</w:t>
            </w:r>
          </w:p>
        </w:tc>
        <w:tc>
          <w:tcPr/>
          <w:p>
            <w:pPr>
              <w:pStyle w:val="Compact"/>
              <w:jc w:val="left"/>
            </w:pPr>
            <w:r>
              <w:t xml:space="preserve">9,2%</w:t>
            </w:r>
          </w:p>
        </w:tc>
        <w:tc>
          <w:tcPr/>
          <w:p>
            <w:pPr>
              <w:pStyle w:val="Compact"/>
              <w:jc w:val="left"/>
            </w:pPr>
            <w:r>
              <w:t xml:space="preserve">8,5%</w:t>
            </w:r>
          </w:p>
        </w:tc>
        <w:tc>
          <w:tcPr/>
          <w:p>
            <w:pPr>
              <w:pStyle w:val="Compact"/>
              <w:jc w:val="left"/>
            </w:pPr>
            <w:r>
              <w:t xml:space="preserve">+0,7 đpt</w:t>
            </w:r>
          </w:p>
        </w:tc>
      </w:tr>
      <w:tr>
        <w:tc>
          <w:tcPr/>
          <w:p>
            <w:pPr>
              <w:pStyle w:val="Compact"/>
              <w:jc w:val="left"/>
            </w:pPr>
            <w:r>
              <w:rPr>
                <w:bCs/>
                <w:b/>
              </w:rPr>
              <w:t xml:space="preserve">Middle East &amp; North Africa (MENA)</w:t>
            </w:r>
          </w:p>
        </w:tc>
        <w:tc>
          <w:tcPr/>
          <w:p>
            <w:pPr>
              <w:pStyle w:val="Compact"/>
              <w:jc w:val="left"/>
            </w:pPr>
            <w:r>
              <w:rPr>
                <w:bCs/>
                <w:b/>
              </w:rPr>
              <w:t xml:space="preserve">3,3%</w:t>
            </w:r>
            <w:r>
              <w:t xml:space="preserve"> </w:t>
            </w:r>
            <w:r>
              <w:rPr>
                <w:iCs/>
                <w:i/>
              </w:rPr>
              <w:t xml:space="preserve">(thấp nhất globally)</w:t>
            </w:r>
          </w:p>
        </w:tc>
        <w:tc>
          <w:tcPr/>
          <w:p>
            <w:pPr>
              <w:pStyle w:val="Compact"/>
              <w:jc w:val="left"/>
            </w:pPr>
            <w:r>
              <w:rPr>
                <w:bCs/>
                <w:b/>
              </w:rPr>
              <w:t xml:space="preserve">1,7%</w:t>
            </w:r>
            <w:r>
              <w:t xml:space="preserve"> </w:t>
            </w:r>
            <w:r>
              <w:rPr>
                <w:iCs/>
                <w:i/>
              </w:rPr>
              <w:t xml:space="preserve">(thấp nhất globally)</w:t>
            </w:r>
          </w:p>
        </w:tc>
        <w:tc>
          <w:tcPr/>
          <w:p>
            <w:pPr>
              <w:pStyle w:val="Compact"/>
              <w:jc w:val="left"/>
            </w:pPr>
            <w:r>
              <w:t xml:space="preserve">+1,6 đpt</w:t>
            </w:r>
          </w:p>
        </w:tc>
      </w:tr>
    </w:tbl>
    <w:p>
      <w:pPr>
        <w:pStyle w:val="BodyText"/>
      </w:pPr>
      <w:r>
        <w:t xml:space="preserve">Sáu quan sát: (a)</w:t>
      </w:r>
      <w:r>
        <w:t xml:space="preserve"> </w:t>
      </w:r>
      <w:r>
        <w:rPr>
          <w:bCs/>
          <w:b/>
        </w:rPr>
        <w:t xml:space="preserve">EAP dẫn đầu, nghịch lý giới châu Á</w:t>
      </w:r>
      <w:r>
        <w:t xml:space="preserve">: EAP có 33,4% nữ TMT, cao nhất toàn cầu, trong khi South Asia và MENA thấp nhất, phản ánh sự không đồng nhất về thể chế và văn hóa trong nội bộ</w:t>
      </w:r>
      <w:r>
        <w:t xml:space="preserve"> </w:t>
      </w:r>
      <w:r>
        <w:t xml:space="preserve">“</w:t>
      </w:r>
      <w:r>
        <w:t xml:space="preserve">châu Á</w:t>
      </w:r>
      <w:r>
        <w:t xml:space="preserve">”</w:t>
      </w:r>
      <w:r>
        <w:t xml:space="preserve">; (b)</w:t>
      </w:r>
      <w:r>
        <w:t xml:space="preserve"> </w:t>
      </w:r>
      <w:r>
        <w:rPr>
          <w:bCs/>
          <w:b/>
        </w:rPr>
        <w:t xml:space="preserve">MENA thấp nhất do rào cản cấu trúc</w:t>
      </w:r>
      <w:r>
        <w:t xml:space="preserve">: MENA chỉ có 3,3% nữ TMT và 1,7% nữ ownership, thấp nhất toàn cầu, phản ánh rào cản thể chế và luật pháp đặc thù (World Bank, 2024,</w:t>
      </w:r>
      <w:r>
        <w:t xml:space="preserve"> </w:t>
      </w:r>
      <w:r>
        <w:rPr>
          <w:iCs/>
          <w:i/>
        </w:rPr>
        <w:t xml:space="preserve">Women, Business and the Law</w:t>
      </w:r>
      <w:r>
        <w:t xml:space="preserve">); (c)</w:t>
      </w:r>
      <w:r>
        <w:t xml:space="preserve"> </w:t>
      </w:r>
      <w:r>
        <w:rPr>
          <w:bCs/>
          <w:b/>
        </w:rPr>
        <w:t xml:space="preserve">Trần sở hữu phổ biến</w:t>
      </w:r>
      <w:r>
        <w:t xml:space="preserve">: 43/50 nền kinh tế có ownership ceiling cao hơn management representation, gợi ý rào cản đặc thù ở cấp sở hữu vốn (equity ownership) so với vị trí quản lý; (d)</w:t>
      </w:r>
      <w:r>
        <w:t xml:space="preserve"> </w:t>
      </w:r>
      <w:r>
        <w:rPr>
          <w:bCs/>
          <w:b/>
        </w:rPr>
        <w:t xml:space="preserve">Các tham chiếu biên về TMT moderation</w:t>
      </w:r>
      <w:r>
        <w:t xml:space="preserve">: Mardones-Ibáñez (2025,</w:t>
      </w:r>
      <w:r>
        <w:t xml:space="preserve"> </w:t>
      </w:r>
      <w:r>
        <w:rPr>
          <w:iCs/>
          <w:i/>
        </w:rPr>
        <w:t xml:space="preserve">SAGE Open</w:t>
      </w:r>
      <w:r>
        <w:t xml:space="preserve">) trong bối cảnh Chile cùng Al-Najjar et al. (2025,</w:t>
      </w:r>
      <w:r>
        <w:t xml:space="preserve"> </w:t>
      </w:r>
      <w:r>
        <w:rPr>
          <w:iCs/>
          <w:i/>
        </w:rPr>
        <w:t xml:space="preserve">IJHRM</w:t>
      </w:r>
      <w:r>
        <w:t xml:space="preserve">) về hiệu ứng U-shaped TMT gender ở S&amp;P 500 không suy rộng trực tiếp được sang ICRV Emerging hay Frontier; (e)</w:t>
      </w:r>
      <w:r>
        <w:t xml:space="preserve"> </w:t>
      </w:r>
      <w:r>
        <w:rPr>
          <w:bCs/>
          <w:b/>
        </w:rPr>
        <w:t xml:space="preserve">Giả thuyết bổ trợ công nghệ</w:t>
      </w:r>
      <w:r>
        <w:t xml:space="preserve"> </w:t>
      </w:r>
      <w:r>
        <w:t xml:space="preserve">(Carboni et al., WBES 192K obs, 158 nước, 2006–2023): female top manager (</w:t>
      </w:r>
      <w:r>
        <w:rPr>
          <w:rStyle w:val="VerbatimChar"/>
        </w:rPr>
        <w:t xml:space="preserve">b7a</w:t>
      </w:r>
      <w:r>
        <w:t xml:space="preserve">) tương tác với technology adoption, với tác động lên ESG-performance mạnh hơn khi doanh nghiệp có DAI cao; (f)</w:t>
      </w:r>
      <w:r>
        <w:t xml:space="preserve"> </w:t>
      </w:r>
      <w:r>
        <w:rPr>
          <w:bCs/>
          <w:b/>
        </w:rPr>
        <w:t xml:space="preserve">Tính dị biệt về hiệu quả doanh nghiệp</w:t>
      </w:r>
      <w:r>
        <w:t xml:space="preserve"> </w:t>
      </w:r>
      <w:r>
        <w:t xml:space="preserve">(World Bank, 2024,</w:t>
      </w:r>
      <w:r>
        <w:t xml:space="preserve"> </w:t>
      </w:r>
      <w:r>
        <w:rPr>
          <w:iCs/>
          <w:i/>
        </w:rPr>
        <w:t xml:space="preserve">Unlocking Global Growth: Closing the Gender Gap in Business</w:t>
      </w:r>
      <w:r>
        <w:t xml:space="preserve">): doanh nghiệp có nữ sở hữu đa số có doanh thu trên nhân viên thấp hơn trung bình nhưng tốc độ tăng trưởng việc làm cao hơn ở nhóm Frontier và Emerging, một pattern phù hợp với việc CAGR việc làm SIDS cao nhất (5,77%) ở Mục 4.3.</w:t>
      </w:r>
    </w:p>
    <w:p>
      <w:pPr>
        <w:pStyle w:val="BodyText"/>
      </w:pPr>
      <w:r>
        <w:rPr>
          <w:bCs/>
          <w:b/>
        </w:rPr>
        <w:t xml:space="preserve">Liên kết với Mục 4.5.6</w:t>
      </w:r>
      <w:r>
        <w:t xml:space="preserve">: Chi tiết phân tầng female top manager theo ICRV sub-regime và hàm ý của biến</w:t>
      </w:r>
      <w:r>
        <w:t xml:space="preserve"> </w:t>
      </w:r>
      <w:r>
        <w:rPr>
          <w:rStyle w:val="VerbatimChar"/>
        </w:rPr>
        <w:t xml:space="preserve">b7a</w:t>
      </w:r>
      <w:r>
        <w:t xml:space="preserve"> </w:t>
      </w:r>
      <w:r>
        <w:t xml:space="preserve">trong specification của CĐ2 được trình bày ở Mục 4.5.6 mục §2.3.1 chuyên đề.</w:t>
      </w:r>
    </w:p>
    <w:p>
      <w:pPr>
        <w:pStyle w:val="BodyText"/>
      </w:pPr>
      <w:r>
        <w:rPr>
          <w:bCs/>
          <w:b/>
        </w:rPr>
        <w:t xml:space="preserve">Nguồn</w:t>
      </w:r>
      <w:r>
        <w:t xml:space="preserve">: Carboni et al. (2024/2025, WBES ESG indicators); World Bank (2024)</w:t>
      </w:r>
      <w:r>
        <w:t xml:space="preserve"> </w:t>
      </w:r>
      <w:r>
        <w:rPr>
          <w:iCs/>
          <w:i/>
        </w:rPr>
        <w:t xml:space="preserve">Unlocking Global Growth: Closing the Gender Gap in Business</w:t>
      </w:r>
      <w:r>
        <w:t xml:space="preserve"> </w:t>
      </w:r>
      <w:r>
        <w:t xml:space="preserve">(WBES 167 nền kinh tế); Mardones-Ibáñez (2025,</w:t>
      </w:r>
      <w:r>
        <w:t xml:space="preserve"> </w:t>
      </w:r>
      <w:r>
        <w:rPr>
          <w:iCs/>
          <w:i/>
        </w:rPr>
        <w:t xml:space="preserve">SAGE Open</w:t>
      </w:r>
      <w:r>
        <w:t xml:space="preserve">); Al-Najjar et al. (2025,</w:t>
      </w:r>
      <w:r>
        <w:t xml:space="preserve"> </w:t>
      </w:r>
      <w:r>
        <w:rPr>
          <w:iCs/>
          <w:i/>
        </w:rPr>
        <w:t xml:space="preserve">IJHRM</w:t>
      </w:r>
      <w:r>
        <w:t xml:space="preserve">).</w:t>
      </w:r>
    </w:p>
    <w:bookmarkEnd w:id="88"/>
    <w:bookmarkStart w:id="89" w:name="đường-cong-u-của-innovation-digital-tech"/>
    <w:p>
      <w:pPr>
        <w:pStyle w:val="Heading5"/>
      </w:pPr>
      <w:r>
        <w:t xml:space="preserve">2.3.3.2 Đường cong U của innovation digital tech</w:t>
      </w:r>
    </w:p>
    <w:p>
      <w:pPr>
        <w:pStyle w:val="FirstParagraph"/>
      </w:pPr>
      <w:r>
        <w:rPr>
          <w:bCs/>
          <w:b/>
        </w:rPr>
        <w:t xml:space="preserve">Giai đoạn 1 (chi phí đầu tư cao)</w:t>
      </w:r>
      <w:r>
        <w:t xml:space="preserve">: trong 1-3 năm đầu, hiệu quả tài chính ngắn hạn giảm, phù hợp với DAI âm -0,129 ở Advanced và hiện tượng</w:t>
      </w:r>
      <w:r>
        <w:t xml:space="preserve"> </w:t>
      </w:r>
      <w:r>
        <w:t xml:space="preserve">“</w:t>
      </w:r>
      <w:r>
        <w:t xml:space="preserve">digital theatre</w:t>
      </w:r>
      <w:r>
        <w:t xml:space="preserve">”</w:t>
      </w:r>
      <w:r>
        <w:t xml:space="preserve"> </w:t>
      </w:r>
      <w:r>
        <w:t xml:space="preserve">(Verhoef et al., 2021).</w:t>
      </w:r>
      <w:r>
        <w:t xml:space="preserve"> </w:t>
      </w:r>
      <w:r>
        <w:rPr>
          <w:bCs/>
          <w:b/>
        </w:rPr>
        <w:t xml:space="preserve">Giai đoạn 2 (productivity payoff)</w:t>
      </w:r>
      <w:r>
        <w:t xml:space="preserve">: khi vượt ngưỡng khoảng 3% revenue mỗi năm và duy trì trong 3-5 năm, doanh nghiệp đạt được tăng năng suất, cạnh tranh quốc tế và profit margin. Phần này liên kết với Tier-1/Tier-2 ở Mục 4.4.5 mục §2.3.1 chuyên đề. Bằng chứng: Trung Quốc R&amp;D 39,4% ở late-stage Tier-2; Vùng Vịnh ở transition phase; Việt Nam R&amp;D 6,1% ở early Tier-2.</w:t>
      </w:r>
    </w:p>
    <w:bookmarkEnd w:id="89"/>
    <w:bookmarkStart w:id="90" w:name="Xf9ec9b407e15d41f89e26f6f914c1035a1a1690"/>
    <w:p>
      <w:pPr>
        <w:pStyle w:val="Heading5"/>
      </w:pPr>
      <w:r>
        <w:t xml:space="preserve">2.3.3.3 Bối cảnh trợ cấp công nghiệp toàn cầu (OECD MAGIC, tháng 6 năm 2026)</w:t>
      </w:r>
    </w:p>
    <w:p>
      <w:pPr>
        <w:pStyle w:val="FirstParagraph"/>
      </w:pPr>
      <w:r>
        <w:t xml:space="preserve">Báo cáo</w:t>
      </w:r>
      <w:r>
        <w:t xml:space="preserve"> </w:t>
      </w:r>
      <w:r>
        <w:rPr>
          <w:iCs/>
          <w:i/>
        </w:rPr>
        <w:t xml:space="preserve">OECD MAGIC Database of Industrial Subsidies</w:t>
      </w:r>
      <w:r>
        <w:t xml:space="preserve"> </w:t>
      </w:r>
      <w:r>
        <w:t xml:space="preserve">phiên bản tháng 6 năm 2026 (OECD, 2026) cung cấp dữ liệu cấp doanh nghiệp gần nhất về tình hình trợ cấp công nghiệp toàn cầu, dựa trên 525 tập đoàn sản xuất lớn nhất thế giới ở 15 ngành công nghiệp trọng yếu giai đoạn 2005-2024. Bộ dữ liệu này cung cấp ba lớp bối cảnh quan trọng cho việc diễn giải hiện trạng hiệu quả hoạt động doanh nghiệp tại châu Á.</w:t>
      </w:r>
    </w:p>
    <w:p>
      <w:pPr>
        <w:pStyle w:val="BodyText"/>
      </w:pPr>
      <w:r>
        <w:rPr>
          <w:bCs/>
          <w:b/>
        </w:rPr>
        <w:t xml:space="preserve">Lớp một: Quy mô và phân bố địa lý của trợ cấp.</w:t>
      </w:r>
      <w:r>
        <w:t xml:space="preserve"> </w:t>
      </w:r>
      <w:r>
        <w:t xml:space="preserve">Trợ cấp công nghiệp đã đạt mức cao nhất kể từ khủng hoảng tài chính 2008-09: 1,3% doanh thu doanh nghiệp năm 2024, tổng cộng USD 108 tỷ trên 15 ngành (OECD, 2026). Doanh nghiệp đóng trụ sở tại Trung Quốc nhận trung bình gấp ba đến tám lần mức hỗ trợ so với doanh nghiệp OECD trong giai đoạn 2005-2024; trong khi đó doanh nghiệp tại Brazil, Ấn Độ và Indonesia nhận mức tương đương khoảng cách với Bắc Mỹ. Sự bất đối xứng này trùng khớp với dải biến thiên ICRV của luận án: chế độ trợ cấp đậm đặc ở Trung Quốc (ICRV III, Upper-middle) phản ánh một cấu hình thể chế nơi nhà nước đóng vai trò chủ động trong việc chuyển hóa quan hệ I-P thành thị phần.</w:t>
      </w:r>
    </w:p>
    <w:p>
      <w:pPr>
        <w:pStyle w:val="BodyText"/>
      </w:pPr>
      <w:r>
        <w:rPr>
          <w:bCs/>
          <w:b/>
        </w:rPr>
        <w:t xml:space="preserve">Lớp hai: Loại hình trợ cấp và vai trò doanh nghiệp nhà nước (DNNN).</w:t>
      </w:r>
      <w:r>
        <w:t xml:space="preserve"> </w:t>
      </w:r>
      <w:r>
        <w:t xml:space="preserve">OECD MAGIC phân tách ba loại trợ cấp chính: tài trợ trực tiếp (grants), ưu đãi thuế thu nhập (income-tax concessions) và vay vốn dưới giá thị trường (below-market borrowings, BMB). Cấu trúc trợ cấp khác nhau theo khu vực: Nhật Bản, Hàn Quốc và Mỹ chủ yếu ưu đãi thuế gắn với R&amp;D và tài sản cố định; châu Âu nghiêng về tài trợ trực tiếp; Trung Quốc dồn vào tài trợ và BMB do hệ thống tài chính chủ yếu là ngân hàng nhà nước cho vay ở lãi suất gần với mức tham chiếu. Doanh nghiệp với tỷ lệ sở hữu nhà nước trên 25% nhận trợ cấp cao hơn rõ rệt so với doanh nghiệp tư nhân, đặc biệt qua kênh BMB. Trong ngành đóng tàu, 65% doanh thu toàn ngành đến từ doanh nghiệp có sở hữu nhà nước vượt 25%. Phát hiện này nối tiếp lý thuyết khoảng trống thể chế của Khanna và Palepu (2010): khi cơ chế thị trường chưa hoàn thiện, DNNN trở thành cả người nhận lẫn người trung chuyển trợ cấp, tạo ra sự thiếu minh bạch xung quanh phạm vi thực sự của hỗ trợ công nghiệp.</w:t>
      </w:r>
    </w:p>
    <w:p>
      <w:pPr>
        <w:pStyle w:val="BodyText"/>
      </w:pPr>
      <w:r>
        <w:rPr>
          <w:bCs/>
          <w:b/>
        </w:rPr>
        <w:t xml:space="preserve">Lớp ba: Tác động kép lên thị phần và năng suất.</w:t>
      </w:r>
      <w:r>
        <w:t xml:space="preserve"> </w:t>
      </w:r>
      <w:r>
        <w:t xml:space="preserve">Đây là phát hiện quan trọng nhất đối với phương pháp luận của luận án. OECD (2026) ước lượng rằng khoảng 22% mức tăng thị phần toàn cầu của các doanh nghiệp tăng trưởng giai đoạn 2005-2023 có thể giải thích bằng trợ cấp đã nhận; với doanh nghiệp Trung Quốc, tỷ lệ này lên đến gần 60%. Tuy nhiên, các phân tích đi kèm cho thấy trợ cấp công nghiệp</w:t>
      </w:r>
      <w:r>
        <w:t xml:space="preserve"> </w:t>
      </w:r>
      <w:r>
        <w:rPr>
          <w:iCs/>
          <w:i/>
        </w:rPr>
        <w:t xml:space="preserve">không</w:t>
      </w:r>
      <w:r>
        <w:t xml:space="preserve"> </w:t>
      </w:r>
      <w:r>
        <w:t xml:space="preserve">dẫn đến tăng đáng kể</w:t>
      </w:r>
      <w:r>
        <w:t xml:space="preserve"> </w:t>
      </w:r>
      <w:r>
        <w:rPr>
          <w:iCs/>
          <w:i/>
        </w:rPr>
        <w:t xml:space="preserve">năng suất hay lợi nhuận</w:t>
      </w:r>
      <w:r>
        <w:t xml:space="preserve">; phần lớn mức tăng thị phần đến từ khả năng hạ giá để giành thị phần khỏi đối thủ cạnh tranh thay vì cải thiện hiệu quả sản xuất thực chất. Điều này có ý nghĩa kép cho khung CDCM của luận án.</w:t>
      </w:r>
      <w:r>
        <w:t xml:space="preserve"> </w:t>
      </w:r>
      <w:r>
        <w:rPr>
          <w:iCs/>
          <w:i/>
        </w:rPr>
        <w:t xml:space="preserve">Thứ nhất</w:t>
      </w:r>
      <w:r>
        <w:t xml:space="preserve">, việc luận án chọn năng suất lao động (chứ không phải thị phần hay doanh thu) làm biến phụ thuộc chính được hậu thuẫn mạnh: chỉ số năng suất ít bị bóp méo bởi trợ cấp xuyên quốc gia hơn các thước đo dựa trên doanh thu, do vậy các phát hiện về quan hệ I-P trong luận án phản ánh hiệu quả thực chất chứ không phải lợi thế trợ cấp tạm thời.</w:t>
      </w:r>
      <w:r>
        <w:t xml:space="preserve"> </w:t>
      </w:r>
      <w:r>
        <w:rPr>
          <w:iCs/>
          <w:i/>
        </w:rPr>
        <w:t xml:space="preserve">Thứ hai</w:t>
      </w:r>
      <w:r>
        <w:t xml:space="preserve">, sự không ngang bằng về sân chơi (level playing field) mà OECD (2026) nhấn mạnh củng cố luận điểm CDCM về vai trò thay thế của năng lực số khi thể chế yếu hoặc bị bóp méo: ở các bối cảnh nơi trợ cấp lấn át cạnh tranh dựa trên năng lực, năng lực số bề mặt (DAI Tier-1+2) chỉ còn là điều kiện cần để duy trì khả năng cạnh tranh chứ không tạo ra lợi thế khác biệt rõ rệt.</w:t>
      </w:r>
    </w:p>
    <w:p>
      <w:pPr>
        <w:pStyle w:val="BodyText"/>
      </w:pPr>
      <w:r>
        <w:rPr>
          <w:bCs/>
          <w:b/>
        </w:rPr>
        <w:t xml:space="preserve">Hàm ý cho CĐ2 và luận án.</w:t>
      </w:r>
      <w:r>
        <w:t xml:space="preserve"> </w:t>
      </w:r>
      <w:r>
        <w:t xml:space="preserve">Bối cảnh OECD MAGIC tháng 6 năm 2026 yêu cầu CĐ2 phải giải thích minh bạch hai điểm: (i) tại sao luận án dùng năng suất lao động làm biến phụ thuộc chính thay vì doanh thu hay thị phần; (ii) tại sao ICRV phân tách nhóm Advanced thành đổi mới sáng tạo dẫn dắt (Group I, Singapore/Korea) và tài nguyên dẫn dắt (Group II, GCC) thay vì gộp chung, bởi cấu hình trợ cấp ở hai nhóm này khác nhau căn bản. Khía cạnh</w:t>
      </w:r>
      <w:r>
        <w:t xml:space="preserve"> </w:t>
      </w:r>
      <w:r>
        <w:t xml:space="preserve">“</w:t>
      </w:r>
      <w:r>
        <w:t xml:space="preserve">doping in sports</w:t>
      </w:r>
      <w:r>
        <w:t xml:space="preserve">”</w:t>
      </w:r>
      <w:r>
        <w:t xml:space="preserve"> </w:t>
      </w:r>
      <w:r>
        <w:t xml:space="preserve">mà OECD (2026) ví von gợi ý rằng phần thị phần giành được nhờ trợ cấp không phản ánh năng lực thực chất; bằng chứng năng suất của luận án (β = +0,179 cho TCI tại Việt Nam; β = +0,172 cho DAI ở mẫu gộp đa quốc gia) do đó càng đáng tin cậy vì đo lường hiệu quả thực chất chứ không phải lợi thế trợ cấp.</w:t>
      </w:r>
    </w:p>
    <w:bookmarkEnd w:id="90"/>
    <w:bookmarkStart w:id="91" w:name="X0821715fb5217905db9b697101d1a64ef36b1c7"/>
    <w:p>
      <w:pPr>
        <w:pStyle w:val="Heading5"/>
      </w:pPr>
      <w:r>
        <w:t xml:space="preserve">2.3.3.4 Bối cảnh kinh tế vĩ mô toàn cầu tháng 6 năm 2026 (OECD Economic Outlook 2026)</w:t>
      </w:r>
    </w:p>
    <w:p>
      <w:pPr>
        <w:pStyle w:val="FirstParagraph"/>
      </w:pPr>
      <w:r>
        <w:t xml:space="preserve">Báo cáo</w:t>
      </w:r>
      <w:r>
        <w:t xml:space="preserve"> </w:t>
      </w:r>
      <w:r>
        <w:rPr>
          <w:iCs/>
          <w:i/>
        </w:rPr>
        <w:t xml:space="preserve">OECD Economic Outlook, Volume 2026 Issue 1: Under Pressure</w:t>
      </w:r>
      <w:r>
        <w:t xml:space="preserve"> </w:t>
      </w:r>
      <w:r>
        <w:t xml:space="preserve">(OECD, 2026) phát hành tháng 6 năm 2026 cung cấp bức tranh kinh tế vĩ mô gần nhất với mốc hoàn thiện luận án. Tiêu đề</w:t>
      </w:r>
      <w:r>
        <w:t xml:space="preserve"> </w:t>
      </w:r>
      <w:r>
        <w:t xml:space="preserve">“</w:t>
      </w:r>
      <w:r>
        <w:t xml:space="preserve">Dưới áp lực</w:t>
      </w:r>
      <w:r>
        <w:t xml:space="preserve">”</w:t>
      </w:r>
      <w:r>
        <w:t xml:space="preserve"> </w:t>
      </w:r>
      <w:r>
        <w:t xml:space="preserve">phản ánh ba nguồn áp lực đồng thời mà OECD nhận diện: thứ nhất là việc leo thang thuế quan và phân mảnh thương mại làm tăng chi phí giao dịch xuyên biên giới; thứ hai là sự phục hồi không đồng đều giữa các khu vực, châu Á và Thái Bình Dương tăng trưởng nhanh hơn châu Âu nhưng nội bộ khu vực này lại phân tán mạnh giữa các nền kinh tế tiên tiến số hóa (ICRV Nhóm I), các nền kinh tế trung gian chuyển đổi (Nhóm III-IV) và các quốc đảo nhỏ Thái Bình Dương dễ tổn thương (Nhóm VI); thứ ba là tình trạng bất định địa chính trị kéo dài, đẩy nhiều doanh nghiệp đa quốc gia vào tình huống phải thiết kế chiến lược</w:t>
      </w:r>
      <w:r>
        <w:t xml:space="preserve"> </w:t>
      </w:r>
      <w:r>
        <w:t xml:space="preserve">“</w:t>
      </w:r>
      <w:r>
        <w:t xml:space="preserve">hedging-by-regime</w:t>
      </w:r>
      <w:r>
        <w:t xml:space="preserve">”</w:t>
      </w:r>
      <w:r>
        <w:t xml:space="preserve"> </w:t>
      </w:r>
      <w:r>
        <w:t xml:space="preserve">(chọn dải thể chế ổn định để đặt trụ sở chiến lược). Verbeke (2026) gọi đây là vấn đề Political License to Operate (PLO), một tham số cắt ngang định hình toàn bộ kiến trúc quản trị doanh nghiệp đa quốc gia. Đối chiếu với khung phân tầng CIMT–ICRV–CDCM của luận án: bối cảnh</w:t>
      </w:r>
      <w:r>
        <w:t xml:space="preserve"> </w:t>
      </w:r>
      <w:r>
        <w:t xml:space="preserve">“</w:t>
      </w:r>
      <w:r>
        <w:t xml:space="preserve">Under Pressure</w:t>
      </w:r>
      <w:r>
        <w:t xml:space="preserve">”</w:t>
      </w:r>
      <w:r>
        <w:t xml:space="preserve"> </w:t>
      </w:r>
      <w:r>
        <w:t xml:space="preserve">của OECD chính là minh chứng vĩ mô cho cơ chế</w:t>
      </w:r>
      <w:r>
        <w:t xml:space="preserve"> </w:t>
      </w:r>
      <w:r>
        <w:rPr>
          <w:iCs/>
          <w:i/>
        </w:rPr>
        <w:t xml:space="preserve">institutional-void amplification</w:t>
      </w:r>
      <w:r>
        <w:t xml:space="preserve"> </w:t>
      </w:r>
      <w:r>
        <w:t xml:space="preserve">mà CIMT dự đoán, vì khi sức ép địa chính trị tăng, các kênh thay thế thể chế (digital substitution, public infrastructure) trở nên quan trọng hơn, đúng với observable signature CDCM mà bài báo capstone đa quốc gia (P7) ghi nhận qua tương tác DAI × ICRV (p = 0,049).</w:t>
      </w:r>
    </w:p>
    <w:p>
      <w:r>
        <w:pict>
          <v:rect style="width:0;height:1.5pt" o:hralign="center" o:hrstd="t" o:hr="t"/>
        </w:pict>
      </w:r>
    </w:p>
    <w:bookmarkEnd w:id="91"/>
    <w:bookmarkEnd w:id="92"/>
    <w:bookmarkEnd w:id="93"/>
    <w:bookmarkStart w:id="103" w:name="kết-luận-và-đề-xuất"/>
    <w:p>
      <w:pPr>
        <w:pStyle w:val="Heading3"/>
      </w:pPr>
      <w:r>
        <w:t xml:space="preserve">2.4 Kết luận và đề xuất</w:t>
      </w:r>
    </w:p>
    <w:bookmarkStart w:id="94" w:name="Xffcb779075ac33290da15d3166d835ab6e85124"/>
    <w:p>
      <w:pPr>
        <w:pStyle w:val="Heading4"/>
      </w:pPr>
      <w:r>
        <w:t xml:space="preserve">2.4.1 Khoảng trống nghiên cứu thực tiễn (năm khoảng trống)</w:t>
      </w:r>
    </w:p>
    <w:p>
      <w:pPr>
        <w:pStyle w:val="FirstParagraph"/>
      </w:pPr>
      <w:r>
        <w:t xml:space="preserve">Chuyên đề xác định năm khoảng trống thực tiễn (empirical gap) định hướng cho CĐ2 và luận án.</w:t>
      </w:r>
      <w:r>
        <w:t xml:space="preserve"> </w:t>
      </w:r>
      <w:r>
        <w:rPr>
          <w:bCs/>
          <w:b/>
        </w:rPr>
        <w:t xml:space="preserve">Một là</w:t>
      </w:r>
      <w:r>
        <w:t xml:space="preserve"> </w:t>
      </w:r>
      <w:r>
        <w:t xml:space="preserve">thiếu một tổng hợp mô tả đa chiều, cập nhật đến 2025, xuyên 47 nền kinh tế châu Á và Thái Bình Dương; các nghiên cứu hiện hành dừng ở phạm vi hẹp hơn và mốc thời gian sớm hơn (Wu et al., 2022 dừng ở 2020; Arte &amp; Larimo, 2022 dừng ở 2019).</w:t>
      </w:r>
      <w:r>
        <w:t xml:space="preserve"> </w:t>
      </w:r>
      <w:r>
        <w:rPr>
          <w:bCs/>
          <w:b/>
        </w:rPr>
        <w:t xml:space="preserve">Hai là</w:t>
      </w:r>
      <w:r>
        <w:t xml:space="preserve"> </w:t>
      </w:r>
      <w:r>
        <w:t xml:space="preserve">thiếu phân nhóm con (sub-grouping) trong nhóm Advanced, phân biệt đổi mới sáng tạo dẫn dắt so với tài nguyên dẫn dắt, vốn bị che giấu khi gộp chung.</w:t>
      </w:r>
      <w:r>
        <w:t xml:space="preserve"> </w:t>
      </w:r>
      <w:r>
        <w:rPr>
          <w:bCs/>
          <w:b/>
        </w:rPr>
        <w:t xml:space="preserve">Ba là</w:t>
      </w:r>
      <w:r>
        <w:t xml:space="preserve"> </w:t>
      </w:r>
      <w:r>
        <w:t xml:space="preserve">thiếu phân tách hai tầng đo lường số hóa (Tier-1 Digital Presence so với Tier-1+2 Digital Transformation), dẫn tới ngộ nhận về dấu của hệ số DAI.</w:t>
      </w:r>
      <w:r>
        <w:t xml:space="preserve"> </w:t>
      </w:r>
      <w:r>
        <w:rPr>
          <w:bCs/>
          <w:b/>
        </w:rPr>
        <w:t xml:space="preserve">Bốn là</w:t>
      </w:r>
      <w:r>
        <w:t xml:space="preserve"> </w:t>
      </w:r>
      <w:r>
        <w:t xml:space="preserve">thiếu khung lý giải đa tầng cho hiện tượng đảo dấu cross-regime của các yếu tố giải thích.</w:t>
      </w:r>
      <w:r>
        <w:t xml:space="preserve"> </w:t>
      </w:r>
      <w:r>
        <w:rPr>
          <w:bCs/>
          <w:b/>
        </w:rPr>
        <w:t xml:space="preserve">Năm là</w:t>
      </w:r>
      <w:r>
        <w:t xml:space="preserve"> </w:t>
      </w:r>
      <w:r>
        <w:t xml:space="preserve">thiếu bằng chứng firm-level cho chi phí buộc phải quốc tế hóa (forced internationalization penalty) ở các nền kinh tế đảo nhỏ biên.</w:t>
      </w:r>
    </w:p>
    <w:bookmarkEnd w:id="94"/>
    <w:bookmarkStart w:id="95" w:name="kết-luận-chính-tám-kết-luận"/>
    <w:p>
      <w:pPr>
        <w:pStyle w:val="Heading4"/>
      </w:pPr>
      <w:r>
        <w:t xml:space="preserve">2.4.2 Kết luận chính (tám kết luận)</w:t>
      </w:r>
    </w:p>
    <w:p>
      <w:pPr>
        <w:pStyle w:val="FirstParagraph"/>
      </w:pPr>
      <w:r>
        <w:t xml:space="preserve">Tám kết luận chính của chuyên đề:</w:t>
      </w:r>
      <w:r>
        <w:t xml:space="preserve"> </w:t>
      </w:r>
      <w:r>
        <w:rPr>
          <w:bCs/>
          <w:b/>
        </w:rPr>
        <w:t xml:space="preserve">(1)</w:t>
      </w:r>
      <w:r>
        <w:t xml:space="preserve"> </w:t>
      </w:r>
      <w:r>
        <w:t xml:space="preserve">hiệu quả doanh nghiệp châu Á phân tán lớn và không hội tụ, với phân tán năng suất nội bộ tăng đơn điệu khi chất lượng phân nhóm con thể chế suy giảm (Advanced 0,86 đến Frontier 1,36);</w:t>
      </w:r>
      <w:r>
        <w:t xml:space="preserve"> </w:t>
      </w:r>
      <w:r>
        <w:rPr>
          <w:bCs/>
          <w:b/>
        </w:rPr>
        <w:t xml:space="preserve">(2)</w:t>
      </w:r>
      <w:r>
        <w:t xml:space="preserve"> </w:t>
      </w:r>
      <w:r>
        <w:t xml:space="preserve">nhóm Advanced không đồng nhất, tách thành đổi mới sáng tạo dẫn dắt so với tài nguyên dẫn dắt (tỷ số phân tán ≈ 2,1 lần);</w:t>
      </w:r>
      <w:r>
        <w:t xml:space="preserve"> </w:t>
      </w:r>
      <w:r>
        <w:rPr>
          <w:bCs/>
          <w:b/>
        </w:rPr>
        <w:t xml:space="preserve">(3)</w:t>
      </w:r>
      <w:r>
        <w:t xml:space="preserve"> </w:t>
      </w:r>
      <w:r>
        <w:t xml:space="preserve">nhóm Emerging tách thành ba phân nhóm con với FSTS phân tầng 5,0%–7,2%–13,2%;</w:t>
      </w:r>
      <w:r>
        <w:t xml:space="preserve"> </w:t>
      </w:r>
      <w:r>
        <w:rPr>
          <w:bCs/>
          <w:b/>
        </w:rPr>
        <w:t xml:space="preserve">(4)</w:t>
      </w:r>
      <w:r>
        <w:t xml:space="preserve"> </w:t>
      </w:r>
      <w:r>
        <w:t xml:space="preserve">nhảy vọt số (digital leapfrog) diễn ra ở Frontier, Emerging và SIDS, nhưng hệ số âm DAI ở Advanced là biểu hiện giả tạo do bão hòa Tier-1;</w:t>
      </w:r>
      <w:r>
        <w:t xml:space="preserve"> </w:t>
      </w:r>
      <w:r>
        <w:rPr>
          <w:bCs/>
          <w:b/>
        </w:rPr>
        <w:t xml:space="preserve">(5)</w:t>
      </w:r>
      <w:r>
        <w:t xml:space="preserve"> </w:t>
      </w:r>
      <w:r>
        <w:t xml:space="preserve">quốc tế hóa là hiện tượng phân cực (trung vị FSTS = 0%);</w:t>
      </w:r>
      <w:r>
        <w:t xml:space="preserve"> </w:t>
      </w:r>
      <w:r>
        <w:rPr>
          <w:bCs/>
          <w:b/>
        </w:rPr>
        <w:t xml:space="preserve">(6)</w:t>
      </w:r>
      <w:r>
        <w:t xml:space="preserve"> </w:t>
      </w:r>
      <w:r>
        <w:t xml:space="preserve">quan hệ FSTS–năng suất phi tuyến dạng chữ U ngược với điểm uốn đặc thù quốc gia (Việt Nam ≈ 39–46%, Trung Quốc ≈ 47–49%, Singapore ≈ 82%);</w:t>
      </w:r>
      <w:r>
        <w:t xml:space="preserve"> </w:t>
      </w:r>
      <w:r>
        <w:rPr>
          <w:bCs/>
          <w:b/>
        </w:rPr>
        <w:t xml:space="preserve">(7)</w:t>
      </w:r>
      <w:r>
        <w:t xml:space="preserve"> </w:t>
      </w:r>
      <w:r>
        <w:t xml:space="preserve">SIDS Thái Bình Dương biên, đặc biệt Kiribati cực đoan, minh họa sự sụp đổ của đường cong U và chi phí buộc phải quốc tế hóa;</w:t>
      </w:r>
      <w:r>
        <w:t xml:space="preserve"> </w:t>
      </w:r>
      <w:r>
        <w:rPr>
          <w:bCs/>
          <w:b/>
        </w:rPr>
        <w:t xml:space="preserve">(8)</w:t>
      </w:r>
      <w:r>
        <w:t xml:space="preserve"> </w:t>
      </w:r>
      <w:r>
        <w:t xml:space="preserve">toàn bộ pattern được dựng trên pipeline tái lập được cho ba thế hệ schema WBES. Các kết luận này cùng định hướng cho</w:t>
      </w:r>
      <w:r>
        <w:t xml:space="preserve"> </w:t>
      </w:r>
      <w:r>
        <w:rPr>
          <w:bCs/>
          <w:b/>
        </w:rPr>
        <w:t xml:space="preserve">tám phân nhóm con</w:t>
      </w:r>
      <w:r>
        <w:t xml:space="preserve"> </w:t>
      </w:r>
      <w:r>
        <w:t xml:space="preserve">hiệu ứng cố định và sáu giả thuyết H1–H6 của CĐ2 (xem Mục 4.7 mục §2.3.1 chuyên đề).</w:t>
      </w:r>
    </w:p>
    <w:bookmarkEnd w:id="95"/>
    <w:bookmarkStart w:id="100" w:name="hàm-ý-cho-luận-án-và-chuyên-đề-2"/>
    <w:p>
      <w:pPr>
        <w:pStyle w:val="Heading4"/>
      </w:pPr>
      <w:r>
        <w:t xml:space="preserve">2.4.3 Hàm ý cho luận án và Chuyên đề 2</w:t>
      </w:r>
    </w:p>
    <w:bookmarkStart w:id="96" w:name="hàm-ý-lý-thuyết"/>
    <w:p>
      <w:pPr>
        <w:pStyle w:val="Heading5"/>
      </w:pPr>
      <w:r>
        <w:t xml:space="preserve">2.4.3.1 Hàm ý lý thuyết</w:t>
      </w:r>
    </w:p>
    <w:p>
      <w:pPr>
        <w:pStyle w:val="FirstParagraph"/>
      </w:pPr>
      <w:r>
        <w:t xml:space="preserve">Chuyên đề cung cấp năm tuyến bằng chứng lý thuyết cho luận án, được tổ chức quanh khung tích hợp ba lớp</w:t>
      </w:r>
      <w:r>
        <w:t xml:space="preserve"> </w:t>
      </w:r>
      <w:r>
        <w:rPr>
          <w:bCs/>
          <w:b/>
        </w:rPr>
        <w:t xml:space="preserve">CIMT–ICRV–CDCM</w:t>
      </w:r>
      <w:r>
        <w:t xml:space="preserve"> </w:t>
      </w:r>
      <w:r>
        <w:t xml:space="preserve">mà luận án phát triển ở Chương 2 §2.5.</w:t>
      </w:r>
      <w:r>
        <w:t xml:space="preserve"> </w:t>
      </w:r>
      <w:r>
        <w:rPr>
          <w:bCs/>
          <w:b/>
        </w:rPr>
        <w:t xml:space="preserve">Một là</w:t>
      </w:r>
      <w:r>
        <w:t xml:space="preserve"> </w:t>
      </w:r>
      <w:r>
        <w:t xml:space="preserve">bằng chứng tồn tại (existence evidence) cho quan hệ chữ U ngược FSTS–năng suất (H1) qua các điểm uốn đơn quốc gia, mỗi quốc gia là một observable signature của cơ chế CIMT ở một vị trí cụ thể trên dải ICRV.</w:t>
      </w:r>
      <w:r>
        <w:t xml:space="preserve"> </w:t>
      </w:r>
      <w:r>
        <w:rPr>
          <w:bCs/>
          <w:b/>
        </w:rPr>
        <w:t xml:space="preserve">Hai là</w:t>
      </w:r>
      <w:r>
        <w:t xml:space="preserve"> </w:t>
      </w:r>
      <w:r>
        <w:t xml:space="preserve">phát hiện phân nhóm con Advanced (innovation- so với resource-driven) như một dạng biến thể chế kiểu Varieties of Capitalism (Hall &amp; Soskice, 2001), gợi ý tinh chỉnh cho taxonomy ICRV ở lớp thứ hai.</w:t>
      </w:r>
      <w:r>
        <w:t xml:space="preserve"> </w:t>
      </w:r>
      <w:r>
        <w:rPr>
          <w:bCs/>
          <w:b/>
        </w:rPr>
        <w:t xml:space="preserve">Ba là</w:t>
      </w:r>
      <w:r>
        <w:t xml:space="preserve"> </w:t>
      </w:r>
      <w:r>
        <w:t xml:space="preserve">khung Năng lực số phụ thuộc bối cảnh (CDCM) hợp nhất phát hiện Việt Nam và Singapore, đặt trên khung 4 tầng của Verhoef et al. (2021); CDCM được CĐ2 và Chương 2 luận án định vị là lớp</w:t>
      </w:r>
      <w:r>
        <w:t xml:space="preserve"> </w:t>
      </w:r>
      <w:r>
        <w:rPr>
          <w:iCs/>
          <w:i/>
        </w:rPr>
        <w:t xml:space="preserve">signature</w:t>
      </w:r>
      <w:r>
        <w:t xml:space="preserve"> </w:t>
      </w:r>
      <w:r>
        <w:t xml:space="preserve">của CIMT, tức cơ chế institutional-void amplification dưới điều kiện số hóa.</w:t>
      </w:r>
      <w:r>
        <w:t xml:space="preserve"> </w:t>
      </w:r>
      <w:r>
        <w:rPr>
          <w:bCs/>
          <w:b/>
        </w:rPr>
        <w:t xml:space="preserve">Bốn là</w:t>
      </w:r>
      <w:r>
        <w:t xml:space="preserve"> </w:t>
      </w:r>
      <w:r>
        <w:t xml:space="preserve">lý giải hiện tượng đảo dấu cross-regime qua khoảng cách de jure–de facto (Xu, 2024) và chi phí giao dịch thể chế (Coase, 1937; Williamson, 1985), bằng chứng cho cơ chế LoF attenuation (kênh thứ hai của CIMT).</w:t>
      </w:r>
      <w:r>
        <w:t xml:space="preserve"> </w:t>
      </w:r>
      <w:r>
        <w:rPr>
          <w:bCs/>
          <w:b/>
        </w:rPr>
        <w:t xml:space="preserve">Năm là</w:t>
      </w:r>
      <w:r>
        <w:t xml:space="preserve"> </w:t>
      </w:r>
      <w:r>
        <w:t xml:space="preserve">thiết lập điều kiện biên của lý thuyết Uppsala (Johanson &amp; Vahlne, 1977) qua trường hợp SIDS biên, chính là</w:t>
      </w:r>
      <w:r>
        <w:t xml:space="preserve"> </w:t>
      </w:r>
      <w:r>
        <w:rPr>
          <w:iCs/>
          <w:i/>
        </w:rPr>
        <w:t xml:space="preserve">trường hợp cực đoan của CIMT mismatch</w:t>
      </w:r>
      <w:r>
        <w:t xml:space="preserve"> </w:t>
      </w:r>
      <w:r>
        <w:t xml:space="preserve">khi cả ba kênh đồng pha cực đại. Chuyên đề cảnh báo nguy cơ</w:t>
      </w:r>
      <w:r>
        <w:t xml:space="preserve"> </w:t>
      </w:r>
      <w:r>
        <w:t xml:space="preserve">“</w:t>
      </w:r>
      <w:r>
        <w:t xml:space="preserve">digital theatre</w:t>
      </w:r>
      <w:r>
        <w:t xml:space="preserve">”</w:t>
      </w:r>
      <w:r>
        <w:t xml:space="preserve"> </w:t>
      </w:r>
      <w:r>
        <w:t xml:space="preserve">(Verhoef et al., 2021), tức số hóa hình thức không chuyển thành năng suất, và lưu ý mức độ sẵn sàng AI không đồng đều theo Chỉ số Sẵn sàng AI (AI Preparedness Index) giữa các phân nhóm con.</w:t>
      </w:r>
    </w:p>
    <w:bookmarkEnd w:id="96"/>
    <w:bookmarkStart w:id="97" w:name="hàm-ý-phương-pháp-luận"/>
    <w:p>
      <w:pPr>
        <w:pStyle w:val="Heading5"/>
      </w:pPr>
      <w:r>
        <w:t xml:space="preserve">2.4.3.2 Hàm ý phương pháp luận</w:t>
      </w:r>
    </w:p>
    <w:p>
      <w:pPr>
        <w:pStyle w:val="FirstParagraph"/>
      </w:pPr>
      <w:r>
        <w:t xml:space="preserve">Năm hàm ý phương pháp luận cho CĐ2:</w:t>
      </w:r>
      <w:r>
        <w:t xml:space="preserve"> </w:t>
      </w:r>
      <w:r>
        <w:rPr>
          <w:bCs/>
          <w:b/>
        </w:rPr>
        <w:t xml:space="preserve">(1)</w:t>
      </w:r>
      <w:r>
        <w:t xml:space="preserve"> </w:t>
      </w:r>
      <w:r>
        <w:t xml:space="preserve">dùng hiệu ứng cố định theo</w:t>
      </w:r>
      <w:r>
        <w:t xml:space="preserve"> </w:t>
      </w:r>
      <w:r>
        <w:rPr>
          <w:bCs/>
          <w:b/>
        </w:rPr>
        <w:t xml:space="preserve">tám phân nhóm con</w:t>
      </w:r>
      <w:r>
        <w:t xml:space="preserve"> </w:t>
      </w:r>
      <w:r>
        <w:t xml:space="preserve">(liệt kê ở Mục 4.7(b) mục §2.3.1 chuyên đề) thay cho một hệ số chung, để nắm dị biệt cross-regime;</w:t>
      </w:r>
      <w:r>
        <w:t xml:space="preserve"> </w:t>
      </w:r>
      <w:r>
        <w:rPr>
          <w:bCs/>
          <w:b/>
        </w:rPr>
        <w:t xml:space="preserve">(2)</w:t>
      </w:r>
      <w:r>
        <w:t xml:space="preserve"> </w:t>
      </w:r>
      <w:r>
        <w:t xml:space="preserve">áp dụng lựa chọn hai giai đoạn (2-stage selection) vì quốc tế hóa phân cực mạnh (trung vị FSTS = 0%);</w:t>
      </w:r>
      <w:r>
        <w:t xml:space="preserve"> </w:t>
      </w:r>
      <w:r>
        <w:rPr>
          <w:bCs/>
          <w:b/>
        </w:rPr>
        <w:t xml:space="preserve">(3)</w:t>
      </w:r>
      <w:r>
        <w:t xml:space="preserve"> </w:t>
      </w:r>
      <w:r>
        <w:t xml:space="preserve">tách hai đặc tả mô hình (Spec 1 [Tier-1, full pool] và Spec 2 [Tier-1+2, BREADY 2018+]) để phân biệt biểu hiện giả tạo bão hòa khỏi hiệu ứng thực;</w:t>
      </w:r>
      <w:r>
        <w:t xml:space="preserve"> </w:t>
      </w:r>
      <w:r>
        <w:rPr>
          <w:bCs/>
          <w:b/>
        </w:rPr>
        <w:t xml:space="preserve">(4)</w:t>
      </w:r>
      <w:r>
        <w:t xml:space="preserve"> </w:t>
      </w:r>
      <w:r>
        <w:t xml:space="preserve">triển khai hệ thống cô lập</w:t>
      </w:r>
      <w:r>
        <w:t xml:space="preserve"> </w:t>
      </w:r>
      <w:r>
        <w:t xml:space="preserve">“</w:t>
      </w:r>
      <w:r>
        <w:t xml:space="preserve">triple-defense</w:t>
      </w:r>
      <w:r>
        <w:t xml:space="preserve">”</w:t>
      </w:r>
      <w:r>
        <w:t xml:space="preserve"> </w:t>
      </w:r>
      <w:r>
        <w:t xml:space="preserve">(biến giả Post_BREADY_2024, mô hình neo, panel hậu đại dịch độc lập, Mục 4.11 mục §2.3.1 chuyên đề) để chống đứt gãy schema 2025;</w:t>
      </w:r>
      <w:r>
        <w:t xml:space="preserve"> </w:t>
      </w:r>
      <w:r>
        <w:rPr>
          <w:bCs/>
          <w:b/>
        </w:rPr>
        <w:t xml:space="preserve">(5)</w:t>
      </w:r>
      <w:r>
        <w:t xml:space="preserve"> </w:t>
      </w:r>
      <w:r>
        <w:t xml:space="preserve">đưa khung industry FE 9 ngành cùng các kiểm định mẫu con (Mục 7.3.4) vào thiết kế nhận diện. Bộ tám kiểm định độ vững cốt lõi ở Mục 7.3.4 vận hành hóa các hàm ý này.</w:t>
      </w:r>
    </w:p>
    <w:bookmarkEnd w:id="97"/>
    <w:bookmarkStart w:id="98" w:name="X72d3008b4a85d47be9732498c7193c9047a9dbc"/>
    <w:p>
      <w:pPr>
        <w:pStyle w:val="Heading5"/>
      </w:pPr>
      <w:r>
        <w:t xml:space="preserve">2.4.3.3 Hàm ý chính sách cho doanh nghiệp Việt Nam và khu vực (chín hàm ý)</w:t>
      </w:r>
    </w:p>
    <w:p>
      <w:pPr>
        <w:pStyle w:val="BlockText"/>
      </w:pPr>
      <w:r>
        <w:t xml:space="preserve">Chín hàm ý chính sách gồm: (1)–(6) sáu hàm ý chính sách cùng bốn đề xuất tái định vị chuỗi giá trị (GVC) cho Việt Nam; (7) hợp tác di chuyển lao động Thái Bình Dương; (8) chính sách số hóa châu Á cho SME; (9) chiến lược phòng ngừa (hedging) bốn nguyên tắc. Dưới đây trình bày các hàm ý (7)–(9).</w:t>
      </w:r>
    </w:p>
    <w:p>
      <w:pPr>
        <w:pStyle w:val="FirstParagraph"/>
      </w:pPr>
      <w:r>
        <w:rPr>
          <w:bCs/>
          <w:b/>
        </w:rPr>
        <w:t xml:space="preserve">(7) Migration labor partnership Pacific cho Việt Nam: bài học từ PLMS Australia + RSE New Zealand</w:t>
      </w:r>
    </w:p>
    <w:p>
      <w:pPr>
        <w:pStyle w:val="BlockText"/>
      </w:pPr>
      <w:r>
        <w:rPr>
          <w:bCs/>
          <w:b/>
        </w:rPr>
        <w:t xml:space="preserve">Bằng chứng nền tảng</w:t>
      </w:r>
      <w:r>
        <w:t xml:space="preserve">: Mục 5.7.5 mục §2.3.2–§2.4 chuyên đề (PICs macro context); Bertram (2006) MIRAB model.</w:t>
      </w:r>
    </w:p>
    <w:p>
      <w:pPr>
        <w:pStyle w:val="FirstParagraph"/>
      </w:pPr>
      <w:r>
        <w:t xml:space="preserve">Bốn đề xuất cụ thể cho doanh nghiệp + nhà hoạch định chính sách Việt Nam:</w:t>
      </w:r>
    </w:p>
    <w:p>
      <w:pPr>
        <w:numPr>
          <w:ilvl w:val="0"/>
          <w:numId w:val="1019"/>
        </w:numPr>
      </w:pPr>
      <w:r>
        <w:rPr>
          <w:bCs/>
          <w:b/>
        </w:rPr>
        <w:t xml:space="preserve">Học mô hình PLMS</w:t>
      </w:r>
      <w:r>
        <w:t xml:space="preserve"> </w:t>
      </w:r>
      <w:r>
        <w:rPr>
          <w:iCs/>
          <w:i/>
        </w:rPr>
        <w:t xml:space="preserve">(Australia Pacific Labour Mobility Scheme)</w:t>
      </w:r>
      <w:r>
        <w:t xml:space="preserve">: Australia chương trình PLMS gần 30.000 lao động PICs/năm, làm việc 1-3 năm trong nông nghiệp, chế biến thực phẩm, du lịch. Việt Nam có thể ký song phương MoU với Australia để chương trình tương tự</w:t>
      </w:r>
      <w:r>
        <w:t xml:space="preserve"> </w:t>
      </w:r>
      <w:r>
        <w:rPr>
          <w:bCs/>
          <w:b/>
        </w:rPr>
        <w:t xml:space="preserve">Vietnamese Skilled Worker Mobility Scheme</w:t>
      </w:r>
      <w:r>
        <w:t xml:space="preserve">, tập trung vào nông nghiệp công nghệ cao + chế biến + healthcare aged-care (Australia có nhu cầu cao, dân số già hóa).</w:t>
      </w:r>
    </w:p>
    <w:p>
      <w:pPr>
        <w:numPr>
          <w:ilvl w:val="0"/>
          <w:numId w:val="1019"/>
        </w:numPr>
      </w:pPr>
      <w:r>
        <w:rPr>
          <w:bCs/>
          <w:b/>
        </w:rPr>
        <w:t xml:space="preserve">Học mô hình RSE</w:t>
      </w:r>
      <w:r>
        <w:t xml:space="preserve"> </w:t>
      </w:r>
      <w:r>
        <w:rPr>
          <w:iCs/>
          <w:i/>
        </w:rPr>
        <w:t xml:space="preserve">(New Zealand Recognised Seasonal Employer)</w:t>
      </w:r>
      <w:r>
        <w:t xml:space="preserve">: New Zealand RSE chỉ áp dụng cho viticulture (vườn nho) + horticulture (vườn cây ăn quả) + fishing, với work permits 7 tháng/năm. Việt Nam hợp tác với NZ để mở</w:t>
      </w:r>
      <w:r>
        <w:t xml:space="preserve"> </w:t>
      </w:r>
      <w:r>
        <w:rPr>
          <w:bCs/>
          <w:b/>
        </w:rPr>
        <w:t xml:space="preserve">Aquaculture + Coffee + Cashew Skills Exchange</w:t>
      </w:r>
      <w:r>
        <w:t xml:space="preserve">, leveraging chuyên môn Việt Nam trong các ngành này.</w:t>
      </w:r>
    </w:p>
    <w:p>
      <w:pPr>
        <w:numPr>
          <w:ilvl w:val="0"/>
          <w:numId w:val="1019"/>
        </w:numPr>
      </w:pPr>
      <w:r>
        <w:rPr>
          <w:bCs/>
          <w:b/>
        </w:rPr>
        <w:t xml:space="preserve">Cơ chế remittance corridor digital</w:t>
      </w:r>
      <w:r>
        <w:t xml:space="preserve">: Theo ghi chú phân tích nội bộ của tác giả (2026), remittances từ RSE của Vanuatu chiếm 15-20% GDP, chứng minh tính hiệu quả của mô hình</w:t>
      </w:r>
      <w:r>
        <w:t xml:space="preserve"> </w:t>
      </w:r>
      <w:r>
        <w:t xml:space="preserve">“</w:t>
      </w:r>
      <w:r>
        <w:t xml:space="preserve">labor mobility cộng digital remittance</w:t>
      </w:r>
      <w:r>
        <w:t xml:space="preserve">”</w:t>
      </w:r>
      <w:r>
        <w:t xml:space="preserve">. Việt Nam có thể hợp tác với Wise, Western Union hoặc MoMo để</w:t>
      </w:r>
      <w:r>
        <w:t xml:space="preserve"> </w:t>
      </w:r>
      <w:r>
        <w:rPr>
          <w:bCs/>
          <w:b/>
        </w:rPr>
        <w:t xml:space="preserve">giảm phí remittance từ khoảng 7% xuống dưới 3%</w:t>
      </w:r>
      <w:r>
        <w:t xml:space="preserve"> </w:t>
      </w:r>
      <w:r>
        <w:t xml:space="preserve">cho lao động Việt ở Australia và New Zealand, qua đó tiết kiệm hàng trăm triệu USD mỗi năm. Điều này liên kết với FDI commitment $2,4B có fintech focus ở Mục 5.3 (a).</w:t>
      </w:r>
    </w:p>
    <w:p>
      <w:pPr>
        <w:numPr>
          <w:ilvl w:val="0"/>
          <w:numId w:val="1019"/>
        </w:numPr>
      </w:pPr>
      <w:r>
        <w:rPr>
          <w:bCs/>
          <w:b/>
        </w:rPr>
        <w:t xml:space="preserve">Skills upgrading approach để tránh brain drain</w:t>
      </w:r>
      <w:r>
        <w:t xml:space="preserve">: Migration labor có nguy cơ brain drain nếu chỉ low-skilled. Việt Nam cần đầu tư technical education + ngoại ngữ trước khi gửi đi, theo mô hình Korea Employment Permit System (EPS), tập trung vào ngành cao kỹ + đảm bảo lao động return có vốn + kỹ năng để khởi nghiệp tại Việt Nam (return migration channel).</w:t>
      </w:r>
    </w:p>
    <w:p>
      <w:pPr>
        <w:pStyle w:val="FirstParagraph"/>
      </w:pPr>
      <w:r>
        <w:rPr>
          <w:bCs/>
          <w:b/>
        </w:rPr>
        <w:t xml:space="preserve">(8) Chính sách số hóa Asia cho SME Việt Nam: bài học từ Singapore/Korea/Japan/Trung Quốc</w:t>
      </w:r>
    </w:p>
    <w:p>
      <w:pPr>
        <w:pStyle w:val="BlockText"/>
      </w:pPr>
      <w:r>
        <w:rPr>
          <w:bCs/>
          <w:b/>
        </w:rPr>
        <w:t xml:space="preserve">Bằng chứng nền tảng</w:t>
      </w:r>
      <w:r>
        <w:t xml:space="preserve">: Mục 6.2 về Innovation U-curve digital; Bảng 4.4 mục §2.3.1 chuyên đề (Website Việt Nam 47% thấp hơn EAP average 58,9%); Mục 5.4 về concentration risk của Trung Quốc theo Wang/Huang/Hong (2024).</w:t>
      </w:r>
    </w:p>
    <w:p>
      <w:pPr>
        <w:pStyle w:val="FirstParagraph"/>
      </w:pPr>
      <w:r>
        <w:t xml:space="preserve">Bốn lộ trình số hóa cho SME Việt Nam tham khảo:</w:t>
      </w:r>
    </w:p>
    <w:p>
      <w:pPr>
        <w:numPr>
          <w:ilvl w:val="0"/>
          <w:numId w:val="1020"/>
        </w:numPr>
      </w:pPr>
      <w:r>
        <w:rPr>
          <w:bCs/>
          <w:b/>
        </w:rPr>
        <w:t xml:space="preserve">Mô hình Singapore và Korea: AI integration full-stack</w:t>
      </w:r>
      <w:r>
        <w:t xml:space="preserve"> </w:t>
      </w:r>
      <w:r>
        <w:rPr>
          <w:iCs/>
          <w:i/>
        </w:rPr>
        <w:t xml:space="preserve">(Tier-3 transformation)</w:t>
      </w:r>
      <w:r>
        <w:t xml:space="preserve">: Singapore SmartNation initiative cùng Korea Digital New Deal đã đạt mức tích hợp AI vào toàn bộ chuỗi value chain, lần lượt từ marketing automation sang CRM intelligence, supply chain optimization rồi financial forecasting. SME Việt Nam còn cách giai đoạn này khá xa, nên</w:t>
      </w:r>
      <w:r>
        <w:t xml:space="preserve"> </w:t>
      </w:r>
      <w:r>
        <w:rPr>
          <w:bCs/>
          <w:b/>
        </w:rPr>
        <w:t xml:space="preserve">không nên copy nguyên mẫu</w:t>
      </w:r>
      <w:r>
        <w:t xml:space="preserve"> </w:t>
      </w:r>
      <w:r>
        <w:t xml:space="preserve">mà nên target</w:t>
      </w:r>
      <w:r>
        <w:t xml:space="preserve"> </w:t>
      </w:r>
      <w:r>
        <w:rPr>
          <w:bCs/>
          <w:b/>
        </w:rPr>
        <w:t xml:space="preserve">Tier-2 first</w:t>
      </w:r>
      <w:r>
        <w:t xml:space="preserve"> </w:t>
      </w:r>
      <w:r>
        <w:t xml:space="preserve">(xem điểm (d) dưới đây).</w:t>
      </w:r>
    </w:p>
    <w:p>
      <w:pPr>
        <w:numPr>
          <w:ilvl w:val="0"/>
          <w:numId w:val="1020"/>
        </w:numPr>
      </w:pPr>
      <w:r>
        <w:rPr>
          <w:bCs/>
          <w:b/>
        </w:rPr>
        <w:t xml:space="preserve">Mô hình Japan: 60% DN dùng AI back-office</w:t>
      </w:r>
      <w:r>
        <w:t xml:space="preserve"> </w:t>
      </w:r>
      <w:r>
        <w:rPr>
          <w:iCs/>
          <w:i/>
        </w:rPr>
        <w:t xml:space="preserve">(Tier-2 productive transformation)</w:t>
      </w:r>
      <w:r>
        <w:t xml:space="preserve">: Japan đã đạt 60% doanh nghiệp dùng AI cho back-office tasks (accounting automation, HR scheduling, customer service chatbots). Đây là</w:t>
      </w:r>
      <w:r>
        <w:t xml:space="preserve"> </w:t>
      </w:r>
      <w:r>
        <w:rPr>
          <w:bCs/>
          <w:b/>
        </w:rPr>
        <w:t xml:space="preserve">realistic target cho SME Việt Nam 2026-2030</w:t>
      </w:r>
      <w:r>
        <w:t xml:space="preserve">: không cần AI cutting-edge, chỉ cần AI applied cho efficiency gains. Khuyến nghị: chính phủ tài trợ</w:t>
      </w:r>
      <w:r>
        <w:t xml:space="preserve"> </w:t>
      </w:r>
      <w:r>
        <w:rPr>
          <w:bCs/>
          <w:b/>
        </w:rPr>
        <w:t xml:space="preserve">AI Adoption Voucher Program</w:t>
      </w:r>
      <w:r>
        <w:t xml:space="preserve"> </w:t>
      </w:r>
      <w:r>
        <w:t xml:space="preserve">cho SME (~50 triệu VND/firm) để mua off-the-shelf AI tools (Microsoft Copilot, Notion AI, Make.com).</w:t>
      </w:r>
    </w:p>
    <w:p>
      <w:pPr>
        <w:numPr>
          <w:ilvl w:val="0"/>
          <w:numId w:val="1020"/>
        </w:numPr>
      </w:pPr>
      <w:r>
        <w:rPr>
          <w:bCs/>
          <w:b/>
        </w:rPr>
        <w:t xml:space="preserve">Mô hình Trung Quốc: sản xuất thông minh kèm cảnh báo rủi ro tập trung (smart manufacturing và concentration risk warning)</w:t>
      </w:r>
      <w:r>
        <w:t xml:space="preserve"> </w:t>
      </w:r>
      <w:r>
        <w:rPr>
          <w:iCs/>
          <w:i/>
        </w:rPr>
        <w:t xml:space="preserve">(Tier-2/3 hybrid kèm cảnh báo)</w:t>
      </w:r>
      <w:r>
        <w:t xml:space="preserve">: Trung Quốc dẫn đầu châu Á về</w:t>
      </w:r>
      <w:r>
        <w:t xml:space="preserve"> </w:t>
      </w:r>
      <w:r>
        <w:rPr>
          <w:bCs/>
          <w:b/>
        </w:rPr>
        <w:t xml:space="preserve">sản xuất thông minh (smart manufacturing)</w:t>
      </w:r>
      <w:r>
        <w:t xml:space="preserve"> </w:t>
      </w:r>
      <w:r>
        <w:t xml:space="preserve">với chuẩn Công nghiệp 4.0 (Industry 4.0 standards), điển hình là Foxconn Thâm Quyến, BYD và Geely. Tuy nhiên, việc</w:t>
      </w:r>
      <w:r>
        <w:t xml:space="preserve"> </w:t>
      </w:r>
      <w:r>
        <w:rPr>
          <w:bCs/>
          <w:b/>
        </w:rPr>
        <w:t xml:space="preserve">80% mô hình rủi ro ngân hàng (bank risk models) của PRC phụ thuộc vào nhà cung cấp công nghệ lớn (dominant tech providers)</w:t>
      </w:r>
      <w:r>
        <w:t xml:space="preserve"> </w:t>
      </w:r>
      <w:r>
        <w:t xml:space="preserve">(Wang/Huang/Hong, 2024,</w:t>
      </w:r>
      <w:r>
        <w:t xml:space="preserve"> </w:t>
      </w:r>
      <w:r>
        <w:rPr>
          <w:iCs/>
          <w:i/>
        </w:rPr>
        <w:t xml:space="preserve">IRFA</w:t>
      </w:r>
      <w:r>
        <w:t xml:space="preserve">) tạo nên</w:t>
      </w:r>
      <w:r>
        <w:t xml:space="preserve"> </w:t>
      </w:r>
      <w:r>
        <w:rPr>
          <w:bCs/>
          <w:b/>
        </w:rPr>
        <w:t xml:space="preserve">rủi ro tập trung (concentration risk)</w:t>
      </w:r>
      <w:r>
        <w:t xml:space="preserve"> </w:t>
      </w:r>
      <w:r>
        <w:t xml:space="preserve">cao. Việt Nam cần học mặt tích cực là lộ trình sản xuất thông minh, nhưng phải</w:t>
      </w:r>
      <w:r>
        <w:t xml:space="preserve"> </w:t>
      </w:r>
      <w:r>
        <w:rPr>
          <w:bCs/>
          <w:b/>
        </w:rPr>
        <w:t xml:space="preserve">TRÁNH lệ thuộc cứng (lock-in)</w:t>
      </w:r>
      <w:r>
        <w:t xml:space="preserve"> </w:t>
      </w:r>
      <w:r>
        <w:t xml:space="preserve">vào một nhà cung cấp ngoại đơn lẻ, đồng thời đẩy mạnh</w:t>
      </w:r>
      <w:r>
        <w:t xml:space="preserve"> </w:t>
      </w:r>
      <w:r>
        <w:rPr>
          <w:bCs/>
          <w:b/>
        </w:rPr>
        <w:t xml:space="preserve">tiêu chuẩn mở (open standards)</w:t>
      </w:r>
      <w:r>
        <w:t xml:space="preserve"> </w:t>
      </w:r>
      <w:r>
        <w:t xml:space="preserve">và</w:t>
      </w:r>
      <w:r>
        <w:t xml:space="preserve"> </w:t>
      </w:r>
      <w:r>
        <w:rPr>
          <w:bCs/>
          <w:b/>
        </w:rPr>
        <w:t xml:space="preserve">mua sắm đa nhà cung cấp (multi-vendor procurement)</w:t>
      </w:r>
      <w:r>
        <w:t xml:space="preserve"> </w:t>
      </w:r>
      <w:r>
        <w:t xml:space="preserve">cho FDI sản xuất chế biến.</w:t>
      </w:r>
    </w:p>
    <w:p>
      <w:pPr>
        <w:numPr>
          <w:ilvl w:val="0"/>
          <w:numId w:val="1020"/>
        </w:numPr>
      </w:pPr>
      <w:r>
        <w:rPr>
          <w:bCs/>
          <w:b/>
        </w:rPr>
        <w:t xml:space="preserve">Mô hình ưu tiên cho SME Việt Nam: digital payment + social commerce</w:t>
      </w:r>
      <w:r>
        <w:t xml:space="preserve"> </w:t>
      </w:r>
      <w:r>
        <w:rPr>
          <w:iCs/>
          <w:i/>
        </w:rPr>
        <w:t xml:space="preserve">(Tier-1.5 Vietnamese-specific)</w:t>
      </w:r>
      <w:r>
        <w:t xml:space="preserve">: Việt Nam có lợi thế đặc biệt: VietQR ecosystem + mobile payment (MoMo, ZaloPay, ViettelPay) + social commerce qua TikTok/Facebook (&gt;200 triệu user trong khu vực). SME Việt Nam nên ưu tiên 4 layer:</w:t>
      </w:r>
    </w:p>
    <w:p>
      <w:pPr>
        <w:numPr>
          <w:ilvl w:val="0"/>
          <w:numId w:val="1021"/>
        </w:numPr>
        <w:pStyle w:val="Compact"/>
      </w:pPr>
      <w:r>
        <w:rPr>
          <w:bCs/>
          <w:b/>
        </w:rPr>
        <w:t xml:space="preserve">Digital payment integration</w:t>
      </w:r>
      <w:r>
        <w:t xml:space="preserve">: accept mọi loại payment qua VietQR (đã miễn phí 100%, không như credit card 2-3%)</w:t>
      </w:r>
    </w:p>
    <w:p>
      <w:pPr>
        <w:numPr>
          <w:ilvl w:val="0"/>
          <w:numId w:val="1021"/>
        </w:numPr>
        <w:pStyle w:val="Compact"/>
      </w:pPr>
      <w:r>
        <w:rPr>
          <w:bCs/>
          <w:b/>
        </w:rPr>
        <w:t xml:space="preserve">Social commerce optimization</w:t>
      </w:r>
      <w:r>
        <w:t xml:space="preserve">: Facebook Live + TikTok Shop là kênh bán hàng chính cho retail SME</w:t>
      </w:r>
    </w:p>
    <w:p>
      <w:pPr>
        <w:numPr>
          <w:ilvl w:val="0"/>
          <w:numId w:val="1021"/>
        </w:numPr>
        <w:pStyle w:val="Compact"/>
      </w:pPr>
      <w:r>
        <w:rPr>
          <w:bCs/>
          <w:b/>
        </w:rPr>
        <w:t xml:space="preserve">Cross-border e-commerce</w:t>
      </w:r>
      <w:r>
        <w:t xml:space="preserve">: Shopee Asia Pacific + Amazon Vietnam Sellers Program để xuất khẩu micro</w:t>
      </w:r>
    </w:p>
    <w:p>
      <w:pPr>
        <w:numPr>
          <w:ilvl w:val="0"/>
          <w:numId w:val="1021"/>
        </w:numPr>
        <w:pStyle w:val="Compact"/>
      </w:pPr>
      <w:r>
        <w:rPr>
          <w:bCs/>
          <w:b/>
        </w:rPr>
        <w:t xml:space="preserve">Cloud + basic AI tools</w:t>
      </w:r>
      <w:r>
        <w:t xml:space="preserve">: Google Workspace + Microsoft 365 + Make.com automation</w:t>
      </w:r>
      <w:r>
        <w:t xml:space="preserve"> </w:t>
      </w:r>
      <w:r>
        <w:t xml:space="preserve">Tựu trung, đây là mức</w:t>
      </w:r>
      <w:r>
        <w:t xml:space="preserve"> </w:t>
      </w:r>
      <w:r>
        <w:rPr>
          <w:bCs/>
          <w:b/>
        </w:rPr>
        <w:t xml:space="preserve">Tier-1.5</w:t>
      </w:r>
      <w:r>
        <w:t xml:space="preserve">, vượt website thụ động (Tier-1) nhưng chưa đến full-stack AI (Tier-2/3), phù hợp với pattern thực tế của Việt Nam và mức R&amp;D 6,1%.</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Digital_Tier_Vietnam</w:t>
      </w:r>
      <w:r>
        <w:t xml:space="preserve"> </w:t>
      </w:r>
      <w:r>
        <w:t xml:space="preserve">với 4 cấp (Tier-1 website, Tier-1.5 digital payment cộng social commerce, Tier-2 productive AI, Tier-3 full-stack AI) nhằm kiểm tra xem mỗi tier có productivity payoff khác nhau hay không. Kỳ vọng đặt ra là Tier-1 không tăng thêm productivity vì đã saturated; Tier-1.5 tăng productivity ở các nền kinh tế do SME dẫn dắt (VN, IDN, PHL); Tier-2 tăng productivity ở Manufacturing; còn Tier-3 tăng productivity ở ICT và Finance.</w:t>
      </w:r>
    </w:p>
    <w:p>
      <w:pPr>
        <w:pStyle w:val="BodyText"/>
      </w:pPr>
      <w:r>
        <w:rPr>
          <w:bCs/>
          <w:b/>
        </w:rPr>
        <w:t xml:space="preserve">(9) Hedging strategy: đa dạng hóa thị trường + buffer inventory + higher-value FDI partnership + financial hedging</w:t>
      </w:r>
    </w:p>
    <w:p>
      <w:pPr>
        <w:pStyle w:val="BlockText"/>
      </w:pPr>
      <w:r>
        <w:rPr>
          <w:bCs/>
          <w:b/>
        </w:rPr>
        <w:t xml:space="preserve">Bằng chứng nền tảng</w:t>
      </w:r>
      <w:r>
        <w:t xml:space="preserve">: Lớp 7 ở Mục 1.1 mục §2.1–§2.2 chuyên đề (bất định chính sách thuế quan Mỹ 2026); Mục 6 (front-loading effect và tariff uncertainty); Mục 5.3 (năm rủi ro Việt Nam).</w:t>
      </w:r>
    </w:p>
    <w:p>
      <w:pPr>
        <w:pStyle w:val="FirstParagraph"/>
      </w:pPr>
      <w:r>
        <w:t xml:space="preserve">Trong bối cảnh Mỹ chiếm xấp xỉ 30% kim ngạch xuất khẩu Việt Nam và bất định chính sách thuế quan 2026 gây áp lực kép (front-loading + trì hoãn đầu tư + phân hóa lớn vs SME), doanh nghiệp Việt Nam cần</w:t>
      </w:r>
      <w:r>
        <w:t xml:space="preserve"> </w:t>
      </w:r>
      <w:r>
        <w:rPr>
          <w:bCs/>
          <w:b/>
        </w:rPr>
        <w:t xml:space="preserve">hedging strategy 4 nguyên tắc</w:t>
      </w:r>
      <w:r>
        <w:t xml:space="preserve">:</w:t>
      </w:r>
    </w:p>
    <w:p>
      <w:pPr>
        <w:numPr>
          <w:ilvl w:val="0"/>
          <w:numId w:val="1022"/>
        </w:numPr>
        <w:pStyle w:val="Compact"/>
      </w:pPr>
      <w:r>
        <w:rPr>
          <w:bCs/>
          <w:b/>
        </w:rPr>
        <w:t xml:space="preserve">Đa dạng hóa thị trường: giảm phụ thuộc Mỹ ~30% qua 5 hành lang thay thế</w:t>
      </w:r>
      <w:r>
        <w:t xml:space="preserve">:</w:t>
      </w:r>
    </w:p>
    <w:p>
      <w:pPr>
        <w:numPr>
          <w:ilvl w:val="0"/>
          <w:numId w:val="1023"/>
        </w:numPr>
        <w:pStyle w:val="Compact"/>
      </w:pPr>
      <w:r>
        <w:rPr>
          <w:bCs/>
          <w:b/>
        </w:rPr>
        <w:t xml:space="preserve">RCEP</w:t>
      </w:r>
      <w:r>
        <w:t xml:space="preserve"> </w:t>
      </w:r>
      <w:r>
        <w:t xml:space="preserve">(Regional Comprehensive Economic Partnership): 15 thành viên gồm ASEAN+5 (China, Japan, Korea, Australia, New Zealand), tổng GDP $26 ngàn tỷ, đối trọng lớn với Mỹ</w:t>
      </w:r>
    </w:p>
    <w:p>
      <w:pPr>
        <w:numPr>
          <w:ilvl w:val="0"/>
          <w:numId w:val="1023"/>
        </w:numPr>
        <w:pStyle w:val="Compact"/>
      </w:pPr>
      <w:r>
        <w:rPr>
          <w:bCs/>
          <w:b/>
        </w:rPr>
        <w:t xml:space="preserve">CPTPP</w:t>
      </w:r>
      <w:r>
        <w:t xml:space="preserve"> </w:t>
      </w:r>
      <w:r>
        <w:t xml:space="preserve">(Comprehensive and Progressive Trans-Pacific Partnership): 11 thành viên (Singapore, Japan, Australia, NZ, Mexico, Canada, Chile, Peru, Brunei, Malaysia, Việt Nam), phân khúc cao cấp + dịch vụ</w:t>
      </w:r>
    </w:p>
    <w:p>
      <w:pPr>
        <w:numPr>
          <w:ilvl w:val="0"/>
          <w:numId w:val="1023"/>
        </w:numPr>
        <w:pStyle w:val="Compact"/>
      </w:pPr>
      <w:r>
        <w:rPr>
          <w:bCs/>
          <w:b/>
        </w:rPr>
        <w:t xml:space="preserve">ACFTA</w:t>
      </w:r>
      <w:r>
        <w:t xml:space="preserve"> </w:t>
      </w:r>
      <w:r>
        <w:t xml:space="preserve">(ASEAN-China Free Trade Area): đặc biệt cho electronics + textiles + agricultural</w:t>
      </w:r>
    </w:p>
    <w:p>
      <w:pPr>
        <w:numPr>
          <w:ilvl w:val="0"/>
          <w:numId w:val="1023"/>
        </w:numPr>
        <w:pStyle w:val="Compact"/>
      </w:pPr>
      <w:r>
        <w:rPr>
          <w:bCs/>
          <w:b/>
        </w:rPr>
        <w:t xml:space="preserve">GCC partnership</w:t>
      </w:r>
      <w:r>
        <w:t xml:space="preserve"> </w:t>
      </w:r>
      <w:r>
        <w:t xml:space="preserve">(Gulf Cooperation Council, gồm Saudi/Qatar/UAE/Kuwait/Bahrain/Oman): đa dạng hóa sang Trung Đông sau xung đột giảm áp lực</w:t>
      </w:r>
    </w:p>
    <w:p>
      <w:pPr>
        <w:numPr>
          <w:ilvl w:val="0"/>
          <w:numId w:val="1023"/>
        </w:numPr>
        <w:pStyle w:val="Compact"/>
      </w:pPr>
      <w:r>
        <w:rPr>
          <w:bCs/>
          <w:b/>
        </w:rPr>
        <w:t xml:space="preserve">India trade corridor</w:t>
      </w:r>
      <w:r>
        <w:t xml:space="preserve">: thông qua India-Vietnam Comprehensive Strategic Partnership 2024, thị trường 1,4 tỷ dân tăng nhanh</w:t>
      </w:r>
    </w:p>
    <w:p>
      <w:pPr>
        <w:pStyle w:val="FirstParagraph"/>
      </w:pPr>
      <w:r>
        <w:t xml:space="preserve">Mục tiêu là giảm tỷ trọng xuất khẩu sang Mỹ từ 30% xuống còn 22-25% trong 2026-2030.</w:t>
      </w:r>
    </w:p>
    <w:p>
      <w:pPr>
        <w:numPr>
          <w:ilvl w:val="0"/>
          <w:numId w:val="1024"/>
        </w:numPr>
        <w:pStyle w:val="Compact"/>
      </w:pPr>
      <w:r>
        <w:rPr>
          <w:bCs/>
          <w:b/>
        </w:rPr>
        <w:t xml:space="preserve">Lập kế hoạch đẩy nhanh giao hàng + tồn kho dự phòng (front-loading planning + buffer inventory)</w:t>
      </w:r>
      <w:r>
        <w:t xml:space="preserve">, đối phó với bất định chính sách thuế quan:</w:t>
      </w:r>
    </w:p>
    <w:p>
      <w:pPr>
        <w:numPr>
          <w:ilvl w:val="0"/>
          <w:numId w:val="1025"/>
        </w:numPr>
        <w:pStyle w:val="Compact"/>
      </w:pPr>
      <w:r>
        <w:rPr>
          <w:bCs/>
          <w:b/>
        </w:rPr>
        <w:t xml:space="preserve">Lập kế hoạch đẩy nhanh giao hàng (front-load planning)</w:t>
      </w:r>
      <w:r>
        <w:t xml:space="preserve">: doanh nghiệp xuất khẩu lớn lập kế hoạch giao hàng quý 1-2 2026 để tận dụng cửa sổ thuế 10%, KHÔNG vi phạm quy tắc chống bán phá giá (anti-dumping rules) vì là phản ứng chính sách (policy response)</w:t>
      </w:r>
    </w:p>
    <w:p>
      <w:pPr>
        <w:numPr>
          <w:ilvl w:val="0"/>
          <w:numId w:val="1025"/>
        </w:numPr>
        <w:pStyle w:val="Compact"/>
      </w:pPr>
      <w:r>
        <w:rPr>
          <w:bCs/>
          <w:b/>
        </w:rPr>
        <w:t xml:space="preserve">Tồn kho dự phòng (buffer inventory)</w:t>
      </w:r>
      <w:r>
        <w:t xml:space="preserve"> </w:t>
      </w:r>
      <w:r>
        <w:t xml:space="preserve">ở thị trường Mỹ: duy trì</w:t>
      </w:r>
      <w:r>
        <w:t xml:space="preserve"> </w:t>
      </w:r>
      <w:r>
        <w:rPr>
          <w:bCs/>
          <w:b/>
        </w:rPr>
        <w:t xml:space="preserve">kho ngoại quan (warehouse)</w:t>
      </w:r>
      <w:r>
        <w:t xml:space="preserve"> </w:t>
      </w:r>
      <w:r>
        <w:t xml:space="preserve">với 60-90 ngày tồn kho để chống chịu gián đoạn ngắn hạn</w:t>
      </w:r>
    </w:p>
    <w:p>
      <w:pPr>
        <w:numPr>
          <w:ilvl w:val="0"/>
          <w:numId w:val="1025"/>
        </w:numPr>
        <w:pStyle w:val="Compact"/>
      </w:pPr>
      <w:r>
        <w:rPr>
          <w:bCs/>
          <w:b/>
        </w:rPr>
        <w:t xml:space="preserve">Tái cấu trúc hợp đồng (contract restructuring)</w:t>
      </w:r>
      <w:r>
        <w:t xml:space="preserve">: chuyển sang hợp đồng định giá bằng USD (USD-denominated contracts) với</w:t>
      </w:r>
      <w:r>
        <w:t xml:space="preserve"> </w:t>
      </w:r>
      <w:r>
        <w:rPr>
          <w:bCs/>
          <w:b/>
        </w:rPr>
        <w:t xml:space="preserve">điều khoản tối huệ quốc (Most-Favored-Nation, MFN clauses)</w:t>
      </w:r>
      <w:r>
        <w:t xml:space="preserve"> </w:t>
      </w:r>
      <w:r>
        <w:t xml:space="preserve">để bảo vệ trước thay đổi thuế quan có hiệu lực hồi tố (retroactive tariff changes)</w:t>
      </w:r>
    </w:p>
    <w:p>
      <w:pPr>
        <w:numPr>
          <w:ilvl w:val="0"/>
          <w:numId w:val="1026"/>
        </w:numPr>
        <w:pStyle w:val="Compact"/>
      </w:pPr>
      <w:r>
        <w:rPr>
          <w:bCs/>
          <w:b/>
        </w:rPr>
        <w:t xml:space="preserve">Higher-value FDI partnership thay cho assembly</w:t>
      </w:r>
      <w:r>
        <w:t xml:space="preserve">, học từ GVC re-positioning ở Mục 5.3 (d):</w:t>
      </w:r>
    </w:p>
    <w:p>
      <w:pPr>
        <w:numPr>
          <w:ilvl w:val="0"/>
          <w:numId w:val="1027"/>
        </w:numPr>
        <w:pStyle w:val="Compact"/>
      </w:pPr>
      <w:r>
        <w:rPr>
          <w:bCs/>
          <w:b/>
        </w:rPr>
        <w:t xml:space="preserve">TRÁNH</w:t>
      </w:r>
      <w:r>
        <w:t xml:space="preserve"> </w:t>
      </w:r>
      <w:r>
        <w:t xml:space="preserve">assembly-only FDI (low value-added, high tariff vulnerability) như assembly mass-production của Foxconn hay Samsung;</w:t>
      </w:r>
    </w:p>
    <w:p>
      <w:pPr>
        <w:numPr>
          <w:ilvl w:val="0"/>
          <w:numId w:val="1027"/>
        </w:numPr>
        <w:pStyle w:val="Compact"/>
      </w:pPr>
      <w:r>
        <w:rPr>
          <w:bCs/>
          <w:b/>
        </w:rPr>
        <w:t xml:space="preserve">ƯU TIÊN</w:t>
      </w:r>
      <w:r>
        <w:t xml:space="preserve"> </w:t>
      </w:r>
      <w:r>
        <w:t xml:space="preserve">R&amp;D và design FDI partnership, chẳng hạn mô hình Singapore Pacific Tech Park hay Korean semiconductor packaging tại Hà Nội;</w:t>
      </w:r>
    </w:p>
    <w:p>
      <w:pPr>
        <w:numPr>
          <w:ilvl w:val="0"/>
          <w:numId w:val="1027"/>
        </w:numPr>
        <w:pStyle w:val="Compact"/>
      </w:pPr>
      <w:r>
        <w:rPr>
          <w:bCs/>
          <w:b/>
        </w:rPr>
        <w:t xml:space="preserve">Mục tiêu</w:t>
      </w:r>
      <w:r>
        <w:t xml:space="preserve">: tăng value-added per export USD từ khoảng 30% hiện tại lên 45-50% trong 2026-2030, phù hợp với Vietnam_HighValue_FDI_2026 (xem hàm ý CĐ2 ở Mục 5.3).</w:t>
      </w:r>
    </w:p>
    <w:p>
      <w:pPr>
        <w:numPr>
          <w:ilvl w:val="0"/>
          <w:numId w:val="1028"/>
        </w:numPr>
        <w:pStyle w:val="Compact"/>
      </w:pPr>
      <w:r>
        <w:rPr>
          <w:bCs/>
          <w:b/>
        </w:rPr>
        <w:t xml:space="preserve">Phòng ngừa tài chính cho rủi ro tỷ giá USD/VND (financial hedging)</w:t>
      </w:r>
      <w:r>
        <w:t xml:space="preserve">:</w:t>
      </w:r>
    </w:p>
    <w:p>
      <w:pPr>
        <w:numPr>
          <w:ilvl w:val="0"/>
          <w:numId w:val="1029"/>
        </w:numPr>
        <w:pStyle w:val="Compact"/>
      </w:pPr>
      <w:r>
        <w:rPr>
          <w:bCs/>
          <w:b/>
        </w:rPr>
        <w:t xml:space="preserve">Phòng ngừa rủi ro ngoại hối (forex hedging)</w:t>
      </w:r>
      <w:r>
        <w:t xml:space="preserve">:</w:t>
      </w:r>
      <w:r>
        <w:t xml:space="preserve"> </w:t>
      </w:r>
      <w:r>
        <w:rPr>
          <w:bCs/>
          <w:b/>
        </w:rPr>
        <w:t xml:space="preserve">hợp đồng kỳ hạn (forward contracts)</w:t>
      </w:r>
      <w:r>
        <w:t xml:space="preserve"> </w:t>
      </w:r>
      <w:r>
        <w:t xml:space="preserve">+</w:t>
      </w:r>
      <w:r>
        <w:t xml:space="preserve"> </w:t>
      </w:r>
      <w:r>
        <w:rPr>
          <w:bCs/>
          <w:b/>
        </w:rPr>
        <w:t xml:space="preserve">hoán đổi tiền tệ (currency swaps)</w:t>
      </w:r>
      <w:r>
        <w:t xml:space="preserve"> </w:t>
      </w:r>
      <w:r>
        <w:t xml:space="preserve">cho doanh nghiệp xuất khẩu trên 1 triệu USD/năm</w:t>
      </w:r>
    </w:p>
    <w:p>
      <w:pPr>
        <w:numPr>
          <w:ilvl w:val="0"/>
          <w:numId w:val="1029"/>
        </w:numPr>
        <w:pStyle w:val="Compact"/>
      </w:pPr>
      <w:r>
        <w:rPr>
          <w:bCs/>
          <w:b/>
        </w:rPr>
        <w:t xml:space="preserve">Khoản phải thu đa tiền tệ (multi-currency receivables)</w:t>
      </w:r>
      <w:r>
        <w:t xml:space="preserve">: lập</w:t>
      </w:r>
      <w:r>
        <w:t xml:space="preserve"> </w:t>
      </w:r>
      <w:r>
        <w:rPr>
          <w:bCs/>
          <w:b/>
        </w:rPr>
        <w:t xml:space="preserve">hóa đơn đa tiền tệ (multi-currency invoicing)</w:t>
      </w:r>
      <w:r>
        <w:t xml:space="preserve"> </w:t>
      </w:r>
      <w:r>
        <w:t xml:space="preserve">với tỷ lệ 30% EUR + 30% JPY + 40% USD để giảm phơi nhiễm USD (dollar exposure)</w:t>
      </w:r>
    </w:p>
    <w:p>
      <w:pPr>
        <w:numPr>
          <w:ilvl w:val="0"/>
          <w:numId w:val="1029"/>
        </w:numPr>
        <w:pStyle w:val="Compact"/>
      </w:pPr>
      <w:r>
        <w:rPr>
          <w:bCs/>
          <w:b/>
        </w:rPr>
        <w:t xml:space="preserve">Hợp tác phòng ngừa giữa các ngân hàng (bank consortium hedging)</w:t>
      </w:r>
      <w:r>
        <w:t xml:space="preserve">: Vietcombank + BIDV + Techcombank lập hợp tác cung cấp sản phẩm phòng ngừa chi phí thấp cho SME (~0,5-1% giá trị danh nghĩa, notional vs 1,5-2% hiện tại)</w:t>
      </w:r>
    </w:p>
    <w:p>
      <w:pPr>
        <w:numPr>
          <w:ilvl w:val="0"/>
          <w:numId w:val="1029"/>
        </w:numPr>
        <w:pStyle w:val="Compact"/>
      </w:pPr>
      <w:r>
        <w:rPr>
          <w:bCs/>
          <w:b/>
        </w:rPr>
        <w:t xml:space="preserve">Phòng ngừa thông qua công nghệ tài chính (fintech-enabled hedging)</w:t>
      </w:r>
      <w:r>
        <w:t xml:space="preserve">: tận dụng MoMo + ZaloPay + ViettelPay với nhà cung cấp thanh khoản đặt tại Singapore (Singapore-based liquidity providers: Wise, Currencycloud)</w:t>
      </w:r>
    </w:p>
    <w:p>
      <w:pPr>
        <w:pStyle w:val="FirstParagraph"/>
      </w:pPr>
      <w:r>
        <w:rPr>
          <w:bCs/>
          <w:b/>
        </w:rPr>
        <w:t xml:space="preserve">Hàm ý cho CĐ2</w:t>
      </w:r>
      <w:r>
        <w:t xml:space="preserve">: bổ sung</w:t>
      </w:r>
      <w:r>
        <w:t xml:space="preserve"> </w:t>
      </w:r>
      <w:r>
        <w:rPr>
          <w:bCs/>
          <w:b/>
        </w:rPr>
        <w:t xml:space="preserve">biến</w:t>
      </w:r>
      <w:r>
        <w:rPr>
          <w:bCs/>
          <w:b/>
        </w:rPr>
        <w:t xml:space="preserve"> </w:t>
      </w:r>
      <w:r>
        <w:rPr>
          <w:rStyle w:val="VerbatimChar"/>
          <w:bCs/>
          <w:b/>
        </w:rPr>
        <w:t xml:space="preserve">Hedging_Capability_Index</w:t>
      </w:r>
      <w:r>
        <w:t xml:space="preserve"> </w:t>
      </w:r>
      <w:r>
        <w:t xml:space="preserve">(proxy: market diversification HHI + buffer inventory days + forex hedging ratio + multi-currency invoicing %) để test xem doanh nghiệp có hedging capability cao có productivity payoff dài hạn ổn định hơn không (vs short-term boost rồi exhaustion). Robustness check #9 (hedging-adjusted), bổ sung sau front-loading-adjusted (#8).</w:t>
      </w:r>
    </w:p>
    <w:bookmarkEnd w:id="98"/>
    <w:bookmarkStart w:id="99" w:name="X57ab092dce38661557cf0c1a1da66622616be93"/>
    <w:p>
      <w:pPr>
        <w:pStyle w:val="Heading5"/>
      </w:pPr>
      <w:r>
        <w:t xml:space="preserve">2.4.3.4 Hàm ý cho Chuyên đề 2 và luận án — tám kiểm định độ vững cốt lõi</w:t>
      </w:r>
    </w:p>
    <w:p>
      <w:pPr>
        <w:pStyle w:val="FirstParagraph"/>
      </w:pPr>
      <w:r>
        <w:t xml:space="preserve">Phân tích mô tả của CĐ1 phát hiện một số biểu hiện giả tạo thống kê (statistical artifact), đặc biệt là hệ số âm DAI ở Advanced do bão hòa Tier-1, đứt gãy schema BREADY 2025, và dị biệt nội bộ phân nhóm con; điều này đòi hỏi CĐ2 phải kiểm chứng kết quả qua một bộ kiểm định độ vững (robustness check) có hệ thống. Dưới đây là</w:t>
      </w:r>
      <w:r>
        <w:t xml:space="preserve"> </w:t>
      </w:r>
      <w:r>
        <w:rPr>
          <w:bCs/>
          <w:b/>
        </w:rPr>
        <w:t xml:space="preserve">tám kiểm định độ vững cốt lõi</w:t>
      </w:r>
      <w:r>
        <w:t xml:space="preserve"> </w:t>
      </w:r>
      <w:r>
        <w:t xml:space="preserve">mà mô hình kiểm định của CĐ2 cần thực hiện, mỗi kiểm định gắn với một mối đe dọa nội tại cụ thể được CĐ1 nhận diện:</w:t>
      </w:r>
    </w:p>
    <w:p>
      <w:pPr>
        <w:numPr>
          <w:ilvl w:val="0"/>
          <w:numId w:val="1030"/>
        </w:numPr>
      </w:pPr>
      <w:r>
        <w:rPr>
          <w:bCs/>
          <w:b/>
        </w:rPr>
        <w:t xml:space="preserve">Mẫu phụ chỉ ngành chế biến chế tạo (Manufacturing-only subsample)</w:t>
      </w:r>
      <w:r>
        <w:t xml:space="preserve">. Ước lượng lại mô hình chính chỉ trên các doanh nghiệp ngành C (ISIC Rev. 4), tách thêm high-tech so với low-tech theo phân loại Kafouros et al. (2023). Mục đích: kiểm tra xem quan hệ chữ U ngược FSTS–năng suất (H1) có ổn định khi loại trừ dị biệt cơ cấu ngành dịch vụ và khai khoáng hay không. Đe dọa được xử lý: nhiễu cơ cấu ngành (Bảng 4.8.1).</w:t>
      </w:r>
    </w:p>
    <w:p>
      <w:pPr>
        <w:numPr>
          <w:ilvl w:val="0"/>
          <w:numId w:val="1030"/>
        </w:numPr>
      </w:pPr>
      <w:r>
        <w:rPr>
          <w:bCs/>
          <w:b/>
        </w:rPr>
        <w:t xml:space="preserve">Kiểm định loại trừ ICT (ICT exclusion test)</w:t>
      </w:r>
      <w:r>
        <w:t xml:space="preserve">. Loại các doanh nghiệp mã ISIC J (58–63) khỏi phân nhóm con Advanced đổi mới sáng tạo dẫn dắt rồi ước lượng lại hệ số DAI. Mục đích: xác nhận rằng hệ số âm DAI −0,129 ở Advanced trong Spec 1 là biểu hiện giả tạo do bão hòa Tier-1 chứ không phải hiệu ứng kinh tế thực (H3). Bằng chứng CĐ1 (Mục 4.4.5 mục §2.3.1 chuyên đề): hệ số âm biến mất sau khi loại ICT.</w:t>
      </w:r>
    </w:p>
    <w:p>
      <w:pPr>
        <w:numPr>
          <w:ilvl w:val="0"/>
          <w:numId w:val="1030"/>
        </w:numPr>
      </w:pPr>
      <w:r>
        <w:rPr>
          <w:bCs/>
          <w:b/>
        </w:rPr>
        <w:t xml:space="preserve">Tách ngành du lịch và khách sạn cho SIDS (Tourism/Hotels separation)</w:t>
      </w:r>
      <w:r>
        <w:t xml:space="preserve">. Tách riêng các doanh nghiệp ISIC I (55–56) ở SIDS Thái Bình Dương để kiểm tra xem tỷ lệ FDI ≥10% cao bất thường ở SIDS (23,5%, Bảng 4.5) có do du lịch dẫn dắt bởi doanh nghiệp đa quốc gia hay không. Mục đích: cô lập trường hợp biên H6 khỏi nhiễu ngành dịch vụ du lịch.</w:t>
      </w:r>
    </w:p>
    <w:p>
      <w:pPr>
        <w:numPr>
          <w:ilvl w:val="0"/>
          <w:numId w:val="1030"/>
        </w:numPr>
      </w:pPr>
      <w:r>
        <w:rPr>
          <w:bCs/>
          <w:b/>
        </w:rPr>
        <w:t xml:space="preserve">Mẫu phụ ngành xây dựng: kiểm định Vùng Vịnh (Construction subsample test)</w:t>
      </w:r>
      <w:r>
        <w:t xml:space="preserve">. Ước lượng lại trên ngành F (41–43) ở nhóm Advanced tài nguyên dẫn dắt, nơi xây dựng theo dự án chiếm tỷ trọng cao. Mục đích: kiểm tra logic nhà nước tô và phân tán hẹp ở Vùng Vịnh (H5) có bị chi phối bởi cơ cấu ngành xây dựng hay không.</w:t>
      </w:r>
    </w:p>
    <w:p>
      <w:pPr>
        <w:numPr>
          <w:ilvl w:val="0"/>
          <w:numId w:val="1030"/>
        </w:numPr>
      </w:pPr>
      <w:r>
        <w:rPr>
          <w:bCs/>
          <w:b/>
        </w:rPr>
        <w:t xml:space="preserve">Loại trừ ngành khai khoáng khỏi cụm tài nguyên (Mining-excluded re-estimation)</w:t>
      </w:r>
      <w:r>
        <w:t xml:space="preserve">. Loại ngành B (05–09) khỏi các phân nhóm con tài nguyên dẫn dắt (Vùng Vịnh, Mongolia). Mục đích: phân biệt hiệu ứng cụm tài nguyên cấp thể chế (H5) khỏi hiệu ứng đặc thù ngành khai khoáng.</w:t>
      </w:r>
    </w:p>
    <w:p>
      <w:pPr>
        <w:numPr>
          <w:ilvl w:val="0"/>
          <w:numId w:val="1030"/>
        </w:numPr>
      </w:pPr>
      <w:r>
        <w:rPr>
          <w:bCs/>
          <w:b/>
        </w:rPr>
        <w:t xml:space="preserve">Mô hình neo cô lập đứt gãy schema BREADY 2025 (Anchor model)</w:t>
      </w:r>
      <w:r>
        <w:t xml:space="preserve">. Quy trình ba bước khóa hệ số neo ước lượng từ dữ liệu đến 2024 rồi tái ước lượng với dữ liệu đầy đủ 2009–2025, kèm kiểm định ổn định hệ số (Wald, Chow) và tỷ số hệ số (xem Mục 4.11.2 mục §2.3.1 chuyên đề). Mục đích: bảo đảm cấu trúc bảng hỏi BREADY 2025 không làm đảo chiều ý nghĩa thống kê cốt lõi của H1–H3.</w:t>
      </w:r>
    </w:p>
    <w:p>
      <w:pPr>
        <w:numPr>
          <w:ilvl w:val="0"/>
          <w:numId w:val="1030"/>
        </w:numPr>
      </w:pPr>
      <w:r>
        <w:rPr>
          <w:bCs/>
          <w:b/>
        </w:rPr>
        <w:t xml:space="preserve">Tương tác động học ngành × chất lượng thể chế (Industry × institutional dynamism)</w:t>
      </w:r>
      <w:r>
        <w:t xml:space="preserve">. Kiểm định các số hạng tương tác</w:t>
      </w:r>
      <w:r>
        <w:t xml:space="preserve"> </w:t>
      </w:r>
      <w:r>
        <w:rPr>
          <w:rStyle w:val="VerbatimChar"/>
        </w:rPr>
        <w:t xml:space="preserve">tech_dynamism × institutional_quality</w:t>
      </w:r>
      <w:r>
        <w:t xml:space="preserve"> </w:t>
      </w:r>
      <w:r>
        <w:t xml:space="preserve">(kỳ vọng dấu dương) và</w:t>
      </w:r>
      <w:r>
        <w:t xml:space="preserve"> </w:t>
      </w:r>
      <w:r>
        <w:rPr>
          <w:rStyle w:val="VerbatimChar"/>
        </w:rPr>
        <w:t xml:space="preserve">market_dynamism × institutional_quality</w:t>
      </w:r>
      <w:r>
        <w:t xml:space="preserve"> </w:t>
      </w:r>
      <w:r>
        <w:t xml:space="preserve">(kỳ vọng dấu âm) theo Kafouros et al. (2023). Mục đích: lặp lại (replicate) phát hiện CEE của Kafouros trong bối cảnh châu Á và cung cấp bằng chứng cho giả thuyết bổ trợ H7 của CĐ2.</w:t>
      </w:r>
    </w:p>
    <w:p>
      <w:pPr>
        <w:numPr>
          <w:ilvl w:val="0"/>
          <w:numId w:val="1030"/>
        </w:numPr>
      </w:pPr>
      <w:r>
        <w:rPr>
          <w:bCs/>
          <w:b/>
        </w:rPr>
        <w:t xml:space="preserve">Đối chiếu ranh giới đo lường (Construct-boundary cross-validation)</w:t>
      </w:r>
      <w:r>
        <w:t xml:space="preserve">. Chạy Spec 2 (DAI Tier-1+2 đa thành phần) chỉ ở các nền kinh tế có đủ dữ liệu BREADY+ để kiểm tra xem pattern kiểu Singapore, tức tương tác DAI × FSTS² dương, có xuất hiện khi dùng chỉ số số hóa tổ hợp hay không (xem Bảng 4.4.5.1 mục §2.3.1 chuyên đề). Mục đích: kiểm chứng khung CDCM và xác lập ranh giới giữa</w:t>
      </w:r>
      <w:r>
        <w:t xml:space="preserve"> </w:t>
      </w:r>
      <w:r>
        <w:t xml:space="preserve">“</w:t>
      </w:r>
      <w:r>
        <w:t xml:space="preserve">đòn bẩy</w:t>
      </w:r>
      <w:r>
        <w:t xml:space="preserve">”</w:t>
      </w:r>
      <w:r>
        <w:t xml:space="preserve"> </w:t>
      </w:r>
      <w:r>
        <w:t xml:space="preserve">(lever) và</w:t>
      </w:r>
      <w:r>
        <w:t xml:space="preserve"> </w:t>
      </w:r>
      <w:r>
        <w:t xml:space="preserve">“</w:t>
      </w:r>
      <w:r>
        <w:t xml:space="preserve">điểm nghẽn</w:t>
      </w:r>
      <w:r>
        <w:t xml:space="preserve">”</w:t>
      </w:r>
      <w:r>
        <w:t xml:space="preserve"> </w:t>
      </w:r>
      <w:r>
        <w:t xml:space="preserve">(bottleneck) của số hóa theo cấp tầng.</w:t>
      </w:r>
    </w:p>
    <w:p>
      <w:pPr>
        <w:pStyle w:val="FirstParagraph"/>
      </w:pPr>
      <w:r>
        <w:rPr>
          <w:bCs/>
          <w:b/>
        </w:rPr>
        <w:t xml:space="preserve">Các kiểm định mở rộng theo bối cảnh (supplementary)</w:t>
      </w:r>
      <w:r>
        <w:t xml:space="preserve">: ngoài tám kiểm định cốt lõi trên, các tiểu cảnh điển hình của Chương 5 và lý giải Chương 6 gợi ý thêm một số kiểm định bổ trợ đặc thù: điều chỉnh theo cơ cấu ngành (sector composition adjustment, Mục 5.3), loại doanh nghiệp xác sống khỏi mẫu phụ Trung Quốc (zombie-excluded re-estimation, Mục 5.4), hiệu chỉnh theo hiệu ứng đẩy nhanh giao hàng (front-loading-adjusted, Mục 6), điều chỉnh theo năng lực phòng ngừa (hedging-adjusted, Mục 7.3.3) và panel xác thực hậu đại dịch độc lập (Mục 4.11.3 mục §2.3.1 chuyên đề). Các kiểm định bổ trợ này phục vụ những câu hỏi đặc thù quốc gia hoặc đặc thù bối cảnh 2026, không thay thế tám kiểm định cốt lõi mang tính cấu trúc.</w:t>
      </w:r>
    </w:p>
    <w:bookmarkEnd w:id="99"/>
    <w:bookmarkEnd w:id="100"/>
    <w:bookmarkStart w:id="101" w:name="hạn-chế-của-chuyên-đề"/>
    <w:p>
      <w:pPr>
        <w:pStyle w:val="Heading4"/>
      </w:pPr>
      <w:r>
        <w:t xml:space="preserve">2.4.4 Hạn chế của chuyên đề</w:t>
      </w:r>
    </w:p>
    <w:p>
      <w:pPr>
        <w:pStyle w:val="FirstParagraph"/>
      </w:pPr>
      <w:r>
        <w:t xml:space="preserve">Chuyên đề thừa nhận bảy hạn chế cần được diễn giải như những</w:t>
      </w:r>
      <w:r>
        <w:t xml:space="preserve"> </w:t>
      </w:r>
      <w:r>
        <w:rPr>
          <w:bCs/>
          <w:b/>
        </w:rPr>
        <w:t xml:space="preserve">giới hạn suy luận (inferential bounds)</w:t>
      </w:r>
      <w:r>
        <w:t xml:space="preserve"> </w:t>
      </w:r>
      <w:r>
        <w:t xml:space="preserve">đặt ra ranh giới cho mọi kết luận, đồng thời định hướng cho thiết kế của CĐ2, phân tích tổng hợp và luận án. Việc nêu rõ các hạn chế này từ giai đoạn mô tả nhằm phòng tránh</w:t>
      </w:r>
      <w:r>
        <w:t xml:space="preserve"> </w:t>
      </w:r>
      <w:r>
        <w:t xml:space="preserve">“</w:t>
      </w:r>
      <w:r>
        <w:t xml:space="preserve">overclaiming</w:t>
      </w:r>
      <w:r>
        <w:t xml:space="preserve">”</w:t>
      </w:r>
      <w:r>
        <w:t xml:space="preserve"> </w:t>
      </w:r>
      <w:r>
        <w:t xml:space="preserve">và bảo đảm tính minh bạch theo chuẩn Aguinis et al. (2019).</w:t>
      </w:r>
    </w:p>
    <w:p>
      <w:pPr>
        <w:numPr>
          <w:ilvl w:val="0"/>
          <w:numId w:val="1031"/>
        </w:numPr>
      </w:pPr>
      <w:r>
        <w:rPr>
          <w:bCs/>
          <w:b/>
        </w:rPr>
        <w:t xml:space="preserve">Bão hòa DAI Tier-1 ở các nền kinh tế tiên tiến</w:t>
      </w:r>
      <w:r>
        <w:t xml:space="preserve">. Trong Spec 1, biến số hóa chỉ là website nhị phân (Tier-1 Digital Presence). Vì website đã bão hòa từ trước 2018 ở Singapore, Hong Kong, Hàn Quốc, Đài Loan và Israel, biến này không còn khả năng phân biệt (discriminate) năng suất giữa các doanh nghiệp ở Advanced; hệ số âm −0,129 do đó là biểu hiện giả tạo đo lường chứ không phải bằng chứng</w:t>
      </w:r>
      <w:r>
        <w:t xml:space="preserve"> </w:t>
      </w:r>
      <w:r>
        <w:t xml:space="preserve">“</w:t>
      </w:r>
      <w:r>
        <w:t xml:space="preserve">số hóa làm giảm năng suất</w:t>
      </w:r>
      <w:r>
        <w:t xml:space="preserve">”</w:t>
      </w:r>
      <w:r>
        <w:t xml:space="preserve">. Suy luận về</w:t>
      </w:r>
      <w:r>
        <w:t xml:space="preserve"> </w:t>
      </w:r>
      <w:r>
        <w:t xml:space="preserve">“</w:t>
      </w:r>
      <w:r>
        <w:t xml:space="preserve">năng lực số</w:t>
      </w:r>
      <w:r>
        <w:t xml:space="preserve">”</w:t>
      </w:r>
      <w:r>
        <w:t xml:space="preserve"> </w:t>
      </w:r>
      <w:r>
        <w:t xml:space="preserve">trong CĐ1 phải giới hạn ở phạm vi Áp dụng số nền tảng (Foundational Digital Adoption), không mở rộng thành</w:t>
      </w:r>
      <w:r>
        <w:t xml:space="preserve"> </w:t>
      </w:r>
      <w:r>
        <w:t xml:space="preserve">“</w:t>
      </w:r>
      <w:r>
        <w:t xml:space="preserve">Digital Transformation</w:t>
      </w:r>
      <w:r>
        <w:t xml:space="preserve">”</w:t>
      </w:r>
      <w:r>
        <w:t xml:space="preserve"> </w:t>
      </w:r>
      <w:r>
        <w:t xml:space="preserve">(Tier-3/4 không quan sát được trong WBES).</w:t>
      </w:r>
    </w:p>
    <w:p>
      <w:pPr>
        <w:numPr>
          <w:ilvl w:val="0"/>
          <w:numId w:val="1031"/>
        </w:numPr>
      </w:pPr>
      <w:r>
        <w:rPr>
          <w:bCs/>
          <w:b/>
        </w:rPr>
        <w:t xml:space="preserve">Hiệu ứng schema BREADY trong đợt khảo sát 2025</w:t>
      </w:r>
      <w:r>
        <w:t xml:space="preserve">. Đợt 2025 (n=17.107, 16,9% pool) dùng bảng hỏi BREADY khác hai thế hệ trước, gây những dịch chuyển đo lường phi kinh tế: điển hình FSTS Ấn Độ rơi từ 7,7% xuống 2,7% và R&amp;D nhiều nước tăng vọt do hiệu ứng bảng hỏi (questionnaire effect). Mọi so sánh chuỗi thời gian có dữ liệu 2025 phải được đọc với dè dặt cho tới khi áp dụng hệ thống cô lập</w:t>
      </w:r>
      <w:r>
        <w:t xml:space="preserve"> </w:t>
      </w:r>
      <w:r>
        <w:t xml:space="preserve">“</w:t>
      </w:r>
      <w:r>
        <w:t xml:space="preserve">triple-defense</w:t>
      </w:r>
      <w:r>
        <w:t xml:space="preserve">”</w:t>
      </w:r>
      <w:r>
        <w:t xml:space="preserve"> </w:t>
      </w:r>
      <w:r>
        <w:t xml:space="preserve">(Mục 4.11 mục §2.3.1 chuyên đề); Nepal 2025 bị để n/a vì schema chưa thống nhất.</w:t>
      </w:r>
    </w:p>
    <w:p>
      <w:pPr>
        <w:numPr>
          <w:ilvl w:val="0"/>
          <w:numId w:val="1031"/>
        </w:numPr>
      </w:pPr>
      <w:r>
        <w:rPr>
          <w:bCs/>
          <w:b/>
        </w:rPr>
        <w:t xml:space="preserve">Thiết kế cắt ngang gộp (pooled cross-sectional), không phải bảng (panel) thực thụ</w:t>
      </w:r>
      <w:r>
        <w:t xml:space="preserve">. Pool 101.185 doanh nghiệp là tập hợp cắt ngang lặp lại (repeated cross-section) chứ không theo dõi cùng một doanh nghiệp qua thời gian. Do đó CĐ1 không thể nhận diện hiệu ứng trong-doanh-nghiệp (within-firm) hay thiết lập quan hệ nhân quả; mọi tương quan ở Chương 6 là mô tả và có thể bị nhiễu bởi yếu tố không quan sát được. Việc nhận diện nhân quả (IV, panel) được dành cho CĐ2.</w:t>
      </w:r>
    </w:p>
    <w:p>
      <w:pPr>
        <w:numPr>
          <w:ilvl w:val="0"/>
          <w:numId w:val="1031"/>
        </w:numPr>
      </w:pPr>
      <w:r>
        <w:rPr>
          <w:bCs/>
          <w:b/>
        </w:rPr>
        <w:t xml:space="preserve">Loại trừ bốn ngành và giới hạn vũ trụ khảo sát WBES</w:t>
      </w:r>
      <w:r>
        <w:t xml:space="preserve">. WBES loại trừ tiện ích công cộng, dịch vụ chính phủ, chăm sóc sức khỏe và dịch vụ tài chính, đồng thời chỉ khảo sát doanh nghiệp chính thức có ít nhất 5 lao động. Vì vậy các pattern của CĐ1 không suy rộng được sang khu vực phi chính thức, vi doanh nghiệp (dưới 5 lao động) hay bốn ngành loại trừ, một giới hạn đặc biệt quan trọng ở Frontier và SIDS nơi khu vực phi chính thức lớn.</w:t>
      </w:r>
    </w:p>
    <w:p>
      <w:pPr>
        <w:numPr>
          <w:ilvl w:val="0"/>
          <w:numId w:val="1031"/>
        </w:numPr>
      </w:pPr>
      <w:r>
        <w:rPr>
          <w:bCs/>
          <w:b/>
        </w:rPr>
        <w:t xml:space="preserve">Tính dị thể của pool (pool heterogeneity) qua ba thế hệ khung dữ liệu</w:t>
      </w:r>
      <w:r>
        <w:t xml:space="preserve">. Pool hài hòa ba thế hệ schema (PICS3, Standardized, Standardized 2018+/BREADY) với định nghĩa biến không hoàn toàn đồng nhất; mẫu phụ đủ dữ liệu năng suất (86.457) loại bỏ không đồng đều giữa các phân nhóm con (Frontier mất 34,2%, xem ghi chú Bảng 4.1). Sự dị thể này hạn chế độ chính xác của các so sánh tuyệt đối xuyên thế hệ schema, dù không làm thay đổi các pattern định hướng (directional patterns).</w:t>
      </w:r>
    </w:p>
    <w:p>
      <w:pPr>
        <w:numPr>
          <w:ilvl w:val="0"/>
          <w:numId w:val="1031"/>
        </w:numPr>
      </w:pPr>
      <w:r>
        <w:rPr>
          <w:bCs/>
          <w:b/>
        </w:rPr>
        <w:t xml:space="preserve">Số liệu giới tính là ước tính theo phân nhóm con, chưa tính trực tiếp từ biến gốc</w:t>
      </w:r>
      <w:r>
        <w:t xml:space="preserve">. Bảng 4.5.6 (mục §2.3.1 chuyên đề) trình bày tỷ lệ nữ quản lý cấp cao và nữ sở hữu dưới dạng khoảng ước tính (range estimate) tổng hợp theo phân nhóm con ICRV, chưa tính chính xác từ biến WBES</w:t>
      </w:r>
      <w:r>
        <w:t xml:space="preserve"> </w:t>
      </w:r>
      <w:r>
        <w:rPr>
          <w:rStyle w:val="VerbatimChar"/>
        </w:rPr>
        <w:t xml:space="preserve">b7a</w:t>
      </w:r>
      <w:r>
        <w:t xml:space="preserve">/</w:t>
      </w:r>
      <w:r>
        <w:rPr>
          <w:rStyle w:val="VerbatimChar"/>
        </w:rPr>
        <w:t xml:space="preserve">b4</w:t>
      </w:r>
      <w:r>
        <w:t xml:space="preserve"> </w:t>
      </w:r>
      <w:r>
        <w:t xml:space="preserve">ở cấp doanh nghiệp. Vì vậy các nhận định về giới (Mục 4.5.6 và 6.1) mang tính gợi mở; trị số chính xác sẽ được tính lại trong giai đoạn hoàn thiện và dùng làm biến kiểm soát/điều tiết trong CĐ2.</w:t>
      </w:r>
    </w:p>
    <w:p>
      <w:pPr>
        <w:numPr>
          <w:ilvl w:val="0"/>
          <w:numId w:val="1031"/>
        </w:numPr>
      </w:pPr>
      <w:r>
        <w:rPr>
          <w:bCs/>
          <w:b/>
        </w:rPr>
        <w:t xml:space="preserve">Thiếu bằng chứng cường độ (magnitude evidence): chờ phân tích tổng hợp</w:t>
      </w:r>
      <w:r>
        <w:t xml:space="preserve">. CĐ1 cung cấp</w:t>
      </w:r>
      <w:r>
        <w:t xml:space="preserve"> </w:t>
      </w:r>
      <w:r>
        <w:rPr>
          <w:iCs/>
          <w:i/>
        </w:rPr>
        <w:t xml:space="preserve">bằng chứng tồn tại</w:t>
      </w:r>
      <w:r>
        <w:t xml:space="preserve"> </w:t>
      </w:r>
      <w:r>
        <w:t xml:space="preserve">(existence evidence) cho H1–H6 qua thống kê mô tả và các điểm uốn đơn quốc gia (Việt Nam, Trung Quốc, Singapore), nhưng chưa cung cấp</w:t>
      </w:r>
      <w:r>
        <w:t xml:space="preserve"> </w:t>
      </w:r>
      <w:r>
        <w:rPr>
          <w:iCs/>
          <w:i/>
        </w:rPr>
        <w:t xml:space="preserve">bằng chứng cường độ</w:t>
      </w:r>
      <w:r>
        <w:t xml:space="preserve">, tức quy mô hiệu ứng gộp (pooled effect size) chuẩn hóa và khoảng tin cậy xuyên 47 nền kinh tế. Bằng chứng cường độ này phụ thuộc vào bài báo tổng hợp định lượng phân tích tổng hợp (đang chuẩn bị, phương pháp PRISMA 2020). Cho tới khi phân tích tổng hợp hoàn thành, mọi phát biểu về độ lớn hiệu ứng tổng hợp phải được trình bày như giả định cần kiểm chứng, không phải kết luận đã xác lập.</w:t>
      </w:r>
    </w:p>
    <w:bookmarkEnd w:id="101"/>
    <w:bookmarkStart w:id="102" w:name="kế-hoạch-hoàn-thiện"/>
    <w:p>
      <w:pPr>
        <w:pStyle w:val="Heading4"/>
      </w:pPr>
      <w:r>
        <w:t xml:space="preserve">2.4.5 Kế hoạch hoàn thiện</w:t>
      </w:r>
    </w:p>
    <w:p>
      <w:pPr>
        <w:pStyle w:val="FirstParagraph"/>
      </w:pPr>
      <w:r>
        <w:t xml:space="preserve">Chuyên đề được hoàn thiện theo bốn giai đoạn nối tiếp từ tháng 6/2026 đến tháng 9/2026, mỗi giai đoạn xử lý một nhóm hạn chế nêu ở Mục 7.4 và bổ sung phần còn để ngỏ trong các phụ lục:</w:t>
      </w:r>
    </w:p>
    <w:p>
      <w:pPr>
        <w:numPr>
          <w:ilvl w:val="0"/>
          <w:numId w:val="1032"/>
        </w:numPr>
      </w:pPr>
      <w:r>
        <w:rPr>
          <w:bCs/>
          <w:b/>
        </w:rPr>
        <w:t xml:space="preserve">Giai đoạn 1 (tháng 6/2026): Hoàn thiện dữ liệu và đo lường gốc</w:t>
      </w:r>
      <w:r>
        <w:t xml:space="preserve">. Tính lại trực tiếp các trị số P90/P10 và P75/P25 cho Bảng 4.1 (xử lý hạn chế 5), tính chính xác số liệu giới tính từ biến</w:t>
      </w:r>
      <w:r>
        <w:t xml:space="preserve"> </w:t>
      </w:r>
      <w:r>
        <w:rPr>
          <w:rStyle w:val="VerbatimChar"/>
        </w:rPr>
        <w:t xml:space="preserve">b7a</w:t>
      </w:r>
      <w:r>
        <w:t xml:space="preserve">/</w:t>
      </w:r>
      <w:r>
        <w:rPr>
          <w:rStyle w:val="VerbatimChar"/>
        </w:rPr>
        <w:t xml:space="preserve">b4</w:t>
      </w:r>
      <w:r>
        <w:t xml:space="preserve"> </w:t>
      </w:r>
      <w:r>
        <w:t xml:space="preserve">(hạn chế 6), quy đổi năng suất sang USD PPP, và chốt số doanh nghiệp Indonesia và Philippines trong phân rã Bảng 4.9 (xử lý C5). Đầu ra: Bảng 4.1, 4.5.6 và 4.9 với số liệu hoàn chỉnh thay cho các ô</w:t>
      </w:r>
      <w:r>
        <w:t xml:space="preserve"> </w:t>
      </w:r>
      <w:r>
        <w:t xml:space="preserve">“</w:t>
      </w:r>
      <w:r>
        <w:t xml:space="preserve">(cập nhật GĐ1)</w:t>
      </w:r>
      <w:r>
        <w:t xml:space="preserve">”</w:t>
      </w:r>
      <w:r>
        <w:t xml:space="preserve"> </w:t>
      </w:r>
      <w:r>
        <w:t xml:space="preserve">và ước tính khoảng.</w:t>
      </w:r>
    </w:p>
    <w:p>
      <w:pPr>
        <w:numPr>
          <w:ilvl w:val="0"/>
          <w:numId w:val="1032"/>
        </w:numPr>
      </w:pPr>
      <w:r>
        <w:rPr>
          <w:bCs/>
          <w:b/>
        </w:rPr>
        <w:t xml:space="preserve">Giai đoạn 2 (tháng 7/2026): Bảng mô tả cấp ngành và cô lập schema</w:t>
      </w:r>
      <w:r>
        <w:t xml:space="preserve">. Xây dựng các bảng mô tả cấp ngành theo khung 9 ngành ISIC (Bảng 4.8.1), triển khai hệ thống</w:t>
      </w:r>
      <w:r>
        <w:t xml:space="preserve"> </w:t>
      </w:r>
      <w:r>
        <w:t xml:space="preserve">“</w:t>
      </w:r>
      <w:r>
        <w:t xml:space="preserve">triple-defense</w:t>
      </w:r>
      <w:r>
        <w:t xml:space="preserve">”</w:t>
      </w:r>
      <w:r>
        <w:t xml:space="preserve"> </w:t>
      </w:r>
      <w:r>
        <w:t xml:space="preserve">cô lập đứt gãy schema BREADY 2025 (xử lý hạn chế 2) và tạo 11 hình minh họa từ</w:t>
      </w:r>
      <w:r>
        <w:t xml:space="preserve"> </w:t>
      </w:r>
      <w:r>
        <w:rPr>
          <w:rStyle w:val="VerbatimChar"/>
        </w:rPr>
        <w:t xml:space="preserve">generate_figures.py</w:t>
      </w:r>
      <w:r>
        <w:t xml:space="preserve">. Đầu ra: phụ lục cấp ngành và bộ hình hoàn chỉnh.</w:t>
      </w:r>
    </w:p>
    <w:p>
      <w:pPr>
        <w:numPr>
          <w:ilvl w:val="0"/>
          <w:numId w:val="1032"/>
        </w:numPr>
      </w:pPr>
      <w:r>
        <w:rPr>
          <w:bCs/>
          <w:b/>
        </w:rPr>
        <w:t xml:space="preserve">Giai đoạn 3 (tháng 8/2026): Mở rộng phụ lục và đối chiếu chéo</w:t>
      </w:r>
      <w:r>
        <w:t xml:space="preserve">. Mở rộng Phụ lục B–G, đối chiếu chéo (cross-validate) toàn bộ pool với baseline 17 nước của Đỗ &amp; Phan (2026, VEFR) để kiểm tra tính nhất quán (xử lý hạn chế 5), và hoàn tất gói tái lập (replication package) mở. Đầu ra: phụ lục đầy đủ và gói tái lập công khai.</w:t>
      </w:r>
    </w:p>
    <w:p>
      <w:pPr>
        <w:numPr>
          <w:ilvl w:val="0"/>
          <w:numId w:val="1032"/>
        </w:numPr>
      </w:pPr>
      <w:r>
        <w:rPr>
          <w:bCs/>
          <w:b/>
        </w:rPr>
        <w:t xml:space="preserve">Giai đoạn 4 (tháng 9/2026): Tích hợp với CĐ2 và rà soát cuối</w:t>
      </w:r>
      <w:r>
        <w:t xml:space="preserve">. Tích hợp định hướng H1–H6 và tám kiểm định độ vững cốt lõi (Mục 7.3.4) vào thiết kế CĐ2, rà soát nhất quán số liệu và nhãn xuyên ba phần, và chuẩn bị bản nộp Hội đồng. Đầu ra: bản chuyên đề hoàn chỉnh sẵn sàng bảo vệ, đồng bộ với mô hình kiểm định của CĐ2.</w:t>
      </w:r>
    </w:p>
    <w:p>
      <w:r>
        <w:pict>
          <v:rect style="width:0;height:1.5pt" o:hralign="center" o:hrstd="t" o:hr="t"/>
        </w:pict>
      </w:r>
    </w:p>
    <w:bookmarkEnd w:id="102"/>
    <w:bookmarkEnd w:id="103"/>
    <w:bookmarkEnd w:id="104"/>
    <w:bookmarkStart w:id="105" w:name="tài-liệu-tham-khảo"/>
    <w:p>
      <w:pPr>
        <w:pStyle w:val="Heading2"/>
      </w:pPr>
      <w:r>
        <w:t xml:space="preserve">TÀI LIỆU THAM KHẢO</w:t>
      </w:r>
    </w:p>
    <w:p>
      <w:pPr>
        <w:pStyle w:val="BlockText"/>
      </w:pPr>
      <w:r>
        <w:t xml:space="preserve">Trích dẫn theo APA 7th. Danh mục đầy đủ ở</w:t>
      </w:r>
      <w:r>
        <w:t xml:space="preserve"> </w:t>
      </w:r>
      <w:r>
        <w:rPr>
          <w:rStyle w:val="VerbatimChar"/>
        </w:rPr>
        <w:t xml:space="preserve">thesis/04_references_apa7.md</w:t>
      </w:r>
      <w:r>
        <w:t xml:space="preserve"> </w:t>
      </w:r>
      <w:r>
        <w:t xml:space="preserve">(v2.5).</w:t>
      </w:r>
    </w:p>
    <w:p>
      <w:r>
        <w:pict>
          <v:rect style="width:0;height:1.5pt" o:hralign="center" o:hrstd="t" o:hr="t"/>
        </w:pict>
      </w:r>
    </w:p>
    <w:bookmarkEnd w:id="105"/>
    <w:bookmarkStart w:id="108" w:name="phụ-lục"/>
    <w:p>
      <w:pPr>
        <w:pStyle w:val="Heading2"/>
      </w:pPr>
      <w:r>
        <w:t xml:space="preserve">PHỤ LỤC</w:t>
      </w:r>
    </w:p>
    <w:bookmarkStart w:id="106" w:name="Xac7090a743afa00f99b5424d88f7949cab3c6cf"/>
    <w:p>
      <w:pPr>
        <w:pStyle w:val="Heading3"/>
      </w:pPr>
      <w:r>
        <w:t xml:space="preserve">Phụ lục A — Phạm vi thực tế của nhóm dữ liệu WBES</w:t>
      </w:r>
    </w:p>
    <w:p>
      <w:pPr>
        <w:pStyle w:val="FirstParagraph"/>
      </w:pPr>
      <w:r>
        <w:t xml:space="preserve">47 nước, 108 cặp QG×năm, 101.185 doanh nghiệp, 7 SIDS bao gồm Kiribati 2025.</w:t>
      </w:r>
    </w:p>
    <w:bookmarkEnd w:id="106"/>
    <w:bookmarkStart w:id="107" w:name="phụ-lục-b-g"/>
    <w:p>
      <w:pPr>
        <w:pStyle w:val="Heading3"/>
      </w:pPr>
      <w:r>
        <w:t xml:space="preserve">Phụ lục B – G</w:t>
      </w:r>
    </w:p>
    <w:p>
      <w:pPr>
        <w:pStyle w:val="FirstParagraph"/>
      </w:pPr>
      <w:r>
        <w:t xml:space="preserve">(Sẽ mở rộng giai đoạn 1–3 tháng 6–8/2026.)</w:t>
      </w:r>
      <w:r>
        <w:t xml:space="preserve"> </w:t>
      </w:r>
      <w:r>
        <w:t xml:space="preserve">### Phụ lục H — Bảng thuật ngữ Anh-Việt (rút gọn)</w:t>
      </w:r>
    </w:p>
    <w:p>
      <w:pPr>
        <w:pStyle w:val="BodyText"/>
      </w:pPr>
      <w:r>
        <w:t xml:space="preserve">(Sáu nhóm thuật ngữ kèm ánh xạ Hán-Việt.)</w:t>
      </w:r>
    </w:p>
    <w:p>
      <w:r>
        <w:pict>
          <v:rect style="width:0;height:1.5pt" o:hralign="center" o:hrstd="t" o:hr="t"/>
        </w:pict>
      </w:r>
    </w:p>
    <w:p>
      <w:pPr>
        <w:pStyle w:val="FirstParagraph"/>
      </w:pPr>
      <w:r>
        <w:rPr>
          <w:iCs/>
          <w:i/>
        </w:rPr>
        <w:t xml:space="preserve">(Phần 2 nội dung chuyên đề đã được merge vào file này từ commit</w:t>
      </w:r>
      <w:r>
        <w:rPr>
          <w:iCs/>
          <w:i/>
        </w:rPr>
        <w:t xml:space="preserve"> </w:t>
      </w:r>
      <w:r>
        <w:rPr>
          <w:rStyle w:val="VerbatimChar"/>
          <w:iCs/>
          <w:i/>
        </w:rPr>
        <w:t xml:space="preserve">2e7f645</w:t>
      </w:r>
      <w:r>
        <w:rPr>
          <w:iCs/>
          <w:i/>
        </w:rPr>
        <w:t xml:space="preserve">.)</w:t>
      </w:r>
    </w:p>
    <w:p>
      <w:pPr>
        <w:pStyle w:val="BlockText"/>
      </w:pPr>
      <w:r>
        <w:rPr>
          <w:iCs/>
          <w:i/>
        </w:rPr>
        <w:t xml:space="preserve">(Note: 3 part files 14/15/16 đã merge vào file này; cross-refs to legacy paths preserved for git history.)</w:t>
      </w:r>
      <w:r>
        <w:t xml:space="preserve"> </w:t>
      </w:r>
      <w:r>
        <w:t xml:space="preserve">Bảng thuật ngữ Anh-Việt:</w:t>
      </w:r>
      <w:r>
        <w:t xml:space="preserve"> </w:t>
      </w:r>
      <w:r>
        <w:rPr>
          <w:rStyle w:val="VerbatimChar"/>
        </w:rPr>
        <w:t xml:space="preserve">thesis/09b_vn_term_glossary.md</w:t>
      </w:r>
      <w:r>
        <w:t xml:space="preserve">.</w:t>
      </w:r>
      <w:r>
        <w:t xml:space="preserve"> </w:t>
      </w:r>
      <w:r>
        <w:t xml:space="preserve">Hình minh họa:</w:t>
      </w:r>
      <w:r>
        <w:t xml:space="preserve"> </w:t>
      </w:r>
      <w:r>
        <w:rPr>
          <w:rStyle w:val="VerbatimChar"/>
        </w:rPr>
        <w:t xml:space="preserve">thesis/figures/</w:t>
      </w:r>
      <w:r>
        <w:t xml:space="preserve"> </w:t>
      </w:r>
      <w:r>
        <w:t xml:space="preserve">(11 hình).</w:t>
      </w:r>
      <w:r>
        <w:t xml:space="preserve"> </w:t>
      </w:r>
      <w:r>
        <w:t xml:space="preserve">—</w:t>
      </w:r>
    </w:p>
    <w:bookmarkEnd w:id="107"/>
    <w:bookmarkEnd w:id="108"/>
    <w:bookmarkEnd w:id="109"/>
    <w:sectPr>
      <w:pgSz w:h="16838" w:w="11906"/>
      <w:pgMar w:bottom="1134" w:left="1701"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35">
    <w:nsid w:val="A9943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732">
    <w:nsid w:val="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733">
    <w:nsid w:val="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ind w:firstLine="567"/>
      <w:spacing w:line="288" w:lineRule="auto"/>
      <w:jc w:val="both"/>
    </w:pPr>
    <w:rPr>
      <w:rFonts w:ascii="Times New Roman" w:eastAsia="Times New Roman" w:hAnsi="Times New Roman"/>
      <w:color w:val="000000"/>
      <w:sz w:val="26"/>
    </w:rPr>
  </w:style>
  <w:style w:styleId="BodyText" w:type="paragraph">
    <w:name w:val="Body Text"/>
    <w:basedOn w:val="Normal"/>
    <w:link w:val="BodyTextChar"/>
    <w:pPr>
      <w:spacing w:after="180" w:before="180" w:line="288" w:lineRule="auto"/>
      <w:jc w:val="both"/>
    </w:pPr>
    <w:qFormat/>
    <w:rPr>
      <w:rFonts w:ascii="Times New Roman" w:eastAsia="Times New Roman" w:hAnsi="Times New Roman"/>
      <w:color w:val="000000"/>
      <w:sz w:val="26"/>
    </w:rPr>
  </w:style>
  <w:style w:customStyle="1" w:styleId="FirstParagraph" w:type="paragraph">
    <w:name w:val="First Paragraph"/>
    <w:basedOn w:val="BodyText"/>
    <w:next w:val="BodyText"/>
    <w:qFormat/>
    <w:pPr>
      <w:spacing w:line="288" w:lineRule="auto"/>
      <w:jc w:val="both"/>
    </w:pPr>
    <w:rPr>
      <w:rFonts w:ascii="Times New Roman" w:eastAsia="Times New Roman" w:hAnsi="Times New Roman"/>
      <w:color w:val="000000"/>
      <w:sz w:val="26"/>
    </w:rPr>
  </w:style>
  <w:style w:customStyle="1" w:styleId="Compact" w:type="paragraph">
    <w:name w:val="Compact"/>
    <w:basedOn w:val="BodyText"/>
    <w:qFormat/>
    <w:pPr>
      <w:spacing w:after="36" w:before="36" w:line="288" w:lineRule="auto"/>
      <w:jc w:val="both"/>
    </w:pPr>
    <w:rPr>
      <w:rFonts w:ascii="Times New Roman" w:eastAsia="Times New Roman" w:hAnsi="Times New Roman"/>
      <w:color w:val="000000"/>
      <w:sz w:val="26"/>
    </w:rPr>
  </w:style>
  <w:style w:styleId="Title" w:type="paragraph">
    <w:name w:val="Title"/>
    <w:basedOn w:val="Normal"/>
    <w:next w:val="BodyText"/>
    <w:qFormat/>
    <w:pPr>
      <w:keepNext/>
      <w:keepLines/>
      <w:spacing w:after="240" w:before="480" w:line="288" w:lineRule="auto"/>
      <w:jc w:val="both"/>
    </w:pPr>
    <w:rPr>
      <w:rFonts w:ascii="Times New Roman" w:asciiTheme="majorHAnsi" w:cstheme="majorBidi" w:eastAsia="Times New Roman" w:eastAsiaTheme="majorEastAsia" w:hAnsi="Times New Roman" w:hAnsiTheme="majorHAnsi"/>
      <w:b/>
      <w:bCs/>
      <w:color w:val="000000"/>
      <w:sz w:val="26"/>
      <w:szCs w:val="36"/>
    </w:rPr>
  </w:style>
  <w:style w:styleId="Subtitle" w:type="paragraph">
    <w:name w:val="Subtitle"/>
    <w:basedOn w:val="Title"/>
    <w:next w:val="BodyText"/>
    <w:qFormat/>
    <w:pPr>
      <w:keepNext/>
      <w:keepLines/>
      <w:spacing w:after="240" w:before="240" w:line="288" w:lineRule="auto"/>
      <w:jc w:val="both"/>
    </w:pPr>
    <w:rPr>
      <w:rFonts w:ascii="Times New Roman" w:eastAsia="Times New Roman" w:hAnsi="Times New Roman"/>
      <w:color w:val="000000"/>
      <w:sz w:val="26"/>
      <w:szCs w:val="30"/>
    </w:rPr>
  </w:style>
  <w:style w:customStyle="1" w:styleId="Author" w:type="paragraph">
    <w:name w:val="Author"/>
    <w:next w:val="BodyText"/>
    <w:qFormat/>
    <w:pPr>
      <w:keepNext/>
      <w:keepLines/>
      <w:spacing w:line="288" w:lineRule="auto"/>
      <w:jc w:val="both"/>
    </w:pPr>
    <w:rPr>
      <w:rFonts w:ascii="Times New Roman" w:eastAsia="Times New Roman" w:hAnsi="Times New Roman"/>
      <w:color w:val="000000"/>
      <w:sz w:val="26"/>
    </w:rPr>
  </w:style>
  <w:style w:styleId="Date" w:type="paragraph">
    <w:name w:val="Date"/>
    <w:next w:val="BodyText"/>
    <w:qFormat/>
    <w:pPr>
      <w:keepNext/>
      <w:keepLines/>
      <w:spacing w:line="288" w:lineRule="auto"/>
      <w:jc w:val="both"/>
    </w:pPr>
    <w:rPr>
      <w:rFonts w:ascii="Times New Roman" w:eastAsia="Times New Roman" w:hAnsi="Times New Roman"/>
      <w:color w:val="000000"/>
      <w:sz w:val="26"/>
    </w:rPr>
  </w:style>
  <w:style w:customStyle="1" w:styleId="AbstractTitle" w:type="paragraph">
    <w:name w:val="Abstract Title"/>
    <w:basedOn w:val="Normal"/>
    <w:next w:val="Abstract"/>
    <w:qFormat/>
    <w:pPr>
      <w:keepNext/>
      <w:keepLines/>
      <w:jc w:val="both"/>
      <w:spacing w:after="0" w:before="300" w:line="288" w:lineRule="auto"/>
    </w:pPr>
    <w:rPr>
      <w:color w:val="000000"/>
      <w:sz w:val="26"/>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88" w:lineRule="auto"/>
      <w:jc w:val="both"/>
    </w:pPr>
    <w:rPr>
      <w:rFonts w:ascii="Times New Roman" w:eastAsia="Times New Roman" w:hAnsi="Times New Roman"/>
      <w:color w:val="000000"/>
      <w:sz w:val="26"/>
      <w:szCs w:val="20"/>
    </w:rPr>
  </w:style>
  <w:style w:styleId="Bibliography" w:type="paragraph">
    <w:name w:val="Bibliography"/>
    <w:basedOn w:val="Normal"/>
    <w:next w:val="Bibliography"/>
    <w:qFormat/>
    <w:pPr>
      <w:spacing w:line="288" w:lineRule="auto"/>
      <w:jc w:val="both"/>
    </w:pPr>
    <w:rPr>
      <w:rFonts w:ascii="Times New Roman" w:eastAsia="Times New Roman" w:hAnsi="Times New Roman"/>
      <w:color w:val="000000"/>
      <w:sz w:val="26"/>
    </w:rPr>
  </w:style>
  <w:style w:styleId="Heading1" w:type="paragraph">
    <w:name w:val="Heading 1"/>
    <w:basedOn w:val="Normal"/>
    <w:next w:val="BodyText"/>
    <w:uiPriority w:val="9"/>
    <w:qFormat/>
    <w:pPr>
      <w:keepNext/>
      <w:keepLines/>
      <w:spacing w:after="0" w:before="480" w:line="288" w:lineRule="auto"/>
      <w:jc w:val="center"/>
      <w:outlineLvl w:val="0"/>
    </w:pPr>
    <w:rPr>
      <w:rFonts w:ascii="Times New Roman" w:asciiTheme="majorHAnsi"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line="288" w:lineRule="auto"/>
      <w:jc w:val="both"/>
      <w:outlineLvl w:val="1"/>
    </w:pPr>
    <w:rPr>
      <w:rFonts w:ascii="Times New Roman" w:asciiTheme="majorHAnsi" w:cstheme="majorBidi" w:eastAsia="Times New Roman" w:eastAsiaTheme="majorEastAsia" w:hAnsi="Times New Roman" w:hAnsiTheme="majorHAnsi"/>
      <w:b/>
      <w:bCs/>
      <w:color w:val="000000"/>
      <w:sz w:val="26"/>
      <w:szCs w:val="28"/>
    </w:rPr>
  </w:style>
  <w:style w:styleId="Heading3" w:type="paragraph">
    <w:name w:val="Heading 3"/>
    <w:basedOn w:val="Normal"/>
    <w:next w:val="BodyText"/>
    <w:uiPriority w:val="9"/>
    <w:unhideWhenUsed/>
    <w:qFormat/>
    <w:pPr>
      <w:keepNext/>
      <w:keepLines/>
      <w:spacing w:after="0" w:before="200" w:line="288" w:lineRule="auto"/>
      <w:jc w:val="both"/>
      <w:outlineLvl w:val="2"/>
    </w:pPr>
    <w:rPr>
      <w:rFonts w:ascii="Times New Roman" w:asciiTheme="majorHAnsi" w:cstheme="majorBidi" w:eastAsia="Times New Roman" w:eastAsiaTheme="majorEastAsia" w:hAnsi="Times New Roman" w:hAnsiTheme="majorHAnsi"/>
      <w:b/>
      <w:bCs/>
      <w:color w:val="000000"/>
      <w:sz w:val="26"/>
      <w:szCs w:val="24"/>
    </w:rPr>
  </w:style>
  <w:style w:styleId="Heading4" w:type="paragraph">
    <w:name w:val="Heading 4"/>
    <w:basedOn w:val="Normal"/>
    <w:next w:val="BodyText"/>
    <w:uiPriority w:val="9"/>
    <w:unhideWhenUsed/>
    <w:qFormat/>
    <w:pPr>
      <w:keepNext/>
      <w:keepLines/>
      <w:spacing w:after="0" w:before="200" w:line="288" w:lineRule="auto"/>
      <w:jc w:val="both"/>
      <w:outlineLvl w:val="3"/>
    </w:pPr>
    <w:rPr>
      <w:rFonts w:ascii="Times New Roman" w:asciiTheme="majorHAnsi" w:cstheme="majorBidi" w:eastAsia="Times New Roman" w:eastAsiaTheme="majorEastAsia" w:hAnsi="Times New Roman" w:hAnsiTheme="majorHAnsi"/>
      <w:i/>
      <w:bCs/>
      <w:color w:val="000000"/>
      <w:sz w:val="26"/>
      <w:szCs w:val="24"/>
    </w:rPr>
  </w:style>
  <w:style w:styleId="Heading5" w:type="paragraph">
    <w:name w:val="Heading 5"/>
    <w:basedOn w:val="Normal"/>
    <w:next w:val="BodyText"/>
    <w:uiPriority w:val="9"/>
    <w:unhideWhenUsed/>
    <w:qFormat/>
    <w:pPr>
      <w:keepNext/>
      <w:keepLines/>
      <w:spacing w:after="0" w:before="200" w:line="288" w:lineRule="auto"/>
      <w:jc w:val="both"/>
      <w:outlineLvl w:val="4"/>
    </w:pPr>
    <w:rPr>
      <w:rFonts w:ascii="Times New Roman" w:asciiTheme="majorHAnsi" w:cstheme="majorBidi" w:eastAsia="Times New Roman" w:eastAsiaTheme="majorEastAsia" w:hAnsi="Times New Roman" w:hAnsiTheme="majorHAnsi"/>
      <w:iCs/>
      <w:color w:val="000000"/>
      <w:sz w:val="26"/>
      <w:szCs w:val="24"/>
    </w:rPr>
  </w:style>
  <w:style w:styleId="Heading6" w:type="paragraph">
    <w:name w:val="Heading 6"/>
    <w:basedOn w:val="Normal"/>
    <w:next w:val="BodyText"/>
    <w:uiPriority w:val="9"/>
    <w:unhideWhenUsed/>
    <w:qFormat/>
    <w:pPr>
      <w:keepNext/>
      <w:keepLines/>
      <w:spacing w:after="0" w:before="200" w:line="288" w:lineRule="auto"/>
      <w:jc w:val="both"/>
      <w:outlineLvl w:val="5"/>
    </w:pPr>
    <w:rPr>
      <w:rFonts w:ascii="Times New Roman" w:asciiTheme="majorHAnsi" w:cstheme="majorBidi" w:eastAsia="Times New Roman" w:eastAsiaTheme="majorEastAsia" w:hAnsi="Times New Roman" w:hAnsiTheme="majorHAnsi"/>
      <w:color w:val="000000"/>
      <w:sz w:val="26"/>
      <w:szCs w:val="24"/>
    </w:rPr>
  </w:style>
  <w:style w:styleId="Heading7" w:type="paragraph">
    <w:name w:val="Heading 7"/>
    <w:basedOn w:val="Normal"/>
    <w:next w:val="BodyText"/>
    <w:uiPriority w:val="9"/>
    <w:unhideWhenUsed/>
    <w:qFormat/>
    <w:pPr>
      <w:keepNext/>
      <w:keepLines/>
      <w:spacing w:after="0" w:before="200" w:line="288" w:lineRule="auto"/>
      <w:jc w:val="both"/>
      <w:outlineLvl w:val="6"/>
    </w:pPr>
    <w:rPr>
      <w:rFonts w:ascii="Times New Roman" w:asciiTheme="majorHAnsi" w:cstheme="majorBidi" w:eastAsia="Times New Roman" w:eastAsiaTheme="majorEastAsia" w:hAnsi="Times New Roman" w:hAnsiTheme="majorHAnsi"/>
      <w:color w:val="000000"/>
      <w:sz w:val="26"/>
      <w:szCs w:val="24"/>
    </w:rPr>
  </w:style>
  <w:style w:styleId="Heading8" w:type="paragraph">
    <w:name w:val="Heading 8"/>
    <w:basedOn w:val="Normal"/>
    <w:next w:val="BodyText"/>
    <w:uiPriority w:val="9"/>
    <w:unhideWhenUsed/>
    <w:qFormat/>
    <w:pPr>
      <w:keepNext/>
      <w:keepLines/>
      <w:spacing w:after="0" w:before="200" w:line="288" w:lineRule="auto"/>
      <w:jc w:val="both"/>
      <w:outlineLvl w:val="7"/>
    </w:pPr>
    <w:rPr>
      <w:rFonts w:ascii="Times New Roman" w:asciiTheme="majorHAnsi" w:cstheme="majorBidi" w:eastAsia="Times New Roman" w:eastAsiaTheme="majorEastAsia" w:hAnsi="Times New Roman" w:hAnsiTheme="majorHAnsi"/>
      <w:color w:val="000000"/>
      <w:sz w:val="26"/>
      <w:szCs w:val="24"/>
    </w:rPr>
  </w:style>
  <w:style w:styleId="Heading9" w:type="paragraph">
    <w:name w:val="Heading 9"/>
    <w:basedOn w:val="Normal"/>
    <w:next w:val="BodyText"/>
    <w:uiPriority w:val="9"/>
    <w:unhideWhenUsed/>
    <w:qFormat/>
    <w:pPr>
      <w:keepNext/>
      <w:keepLines/>
      <w:spacing w:after="0" w:before="200" w:line="288" w:lineRule="auto"/>
      <w:jc w:val="both"/>
      <w:outlineLvl w:val="8"/>
    </w:pPr>
    <w:rPr>
      <w:rFonts w:ascii="Times New Roman" w:asciiTheme="majorHAnsi" w:cstheme="majorBidi" w:eastAsia="Times New Roman" w:eastAsiaTheme="majorEastAsia" w:hAnsi="Times New Roman" w:hAnsiTheme="majorHAnsi"/>
      <w:color w:val="000000"/>
      <w:sz w:val="26"/>
      <w:szCs w:val="24"/>
    </w:rPr>
  </w:style>
  <w:style w:styleId="BlockText" w:type="paragraph">
    <w:name w:val="Block Text"/>
    <w:basedOn w:val="BodyText"/>
    <w:next w:val="BodyText"/>
    <w:uiPriority w:val="9"/>
    <w:unhideWhenUsed/>
    <w:qFormat/>
    <w:pPr>
      <w:spacing w:after="100" w:before="100" w:line="288" w:lineRule="auto"/>
      <w:ind w:firstLine="0" w:left="480" w:right="480"/>
      <w:jc w:val="both"/>
    </w:pPr>
    <w:rPr>
      <w:rFonts w:ascii="Times New Roman" w:eastAsia="Times New Roman" w:hAnsi="Times New Roman"/>
      <w:color w:val="000000"/>
      <w:sz w:val="26"/>
    </w:rPr>
  </w:style>
  <w:style w:styleId="FootnoteText" w:type="paragraph">
    <w:name w:val="Footnote Text"/>
    <w:basedOn w:val="Normal"/>
    <w:next w:val="FootnoteText"/>
    <w:uiPriority w:val="9"/>
    <w:unhideWhenUsed/>
    <w:qFormat/>
    <w:pPr>
      <w:spacing w:line="288" w:lineRule="auto"/>
      <w:jc w:val="both"/>
    </w:pPr>
    <w:rPr>
      <w:rFonts w:ascii="Times New Roman" w:eastAsia="Times New Roman" w:hAnsi="Times New Roman"/>
      <w:color w:val="000000"/>
      <w:sz w:val="26"/>
    </w:rPr>
  </w:style>
  <w:style w:default="1" w:styleId="DefaultParagraphFont" w:type="character">
    <w:name w:val="Default Paragraph Font"/>
    <w:semiHidden/>
    <w:unhideWhenUsed/>
    <w:rPr>
      <w:rFonts w:ascii="Times New Roman" w:eastAsia="Times New Roman" w:hAnsi="Times New Roman"/>
      <w:color w:val="000000"/>
      <w:sz w:val="26"/>
    </w:rPr>
  </w:style>
  <w:style w:default="1" w:styleId="Table" w:type="table">
    <w:name w:val="Table"/>
    <w:basedOn w:val="TableNormal"/>
    <w:semiHidden/>
    <w:unhideWhenUsed/>
    <w:qFormat/>
    <w:pPr>
      <w:spacing w:line="288" w:lineRule="auto"/>
      <w:jc w:val="both"/>
    </w:pPr>
    <w:rPr>
      <w:rFonts w:ascii="Times New Roman" w:eastAsia="Times New Roman" w:hAnsi="Times New Roman"/>
      <w:color w:val="000000"/>
      <w:sz w:val="26"/>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88" w:lineRule="auto"/>
      <w:jc w:val="both"/>
    </w:pPr>
    <w:rPr>
      <w:rFonts w:ascii="Times New Roman" w:eastAsia="Times New Roman" w:hAnsi="Times New Roman"/>
      <w:b/>
      <w:color w:val="000000"/>
      <w:sz w:val="26"/>
    </w:rPr>
  </w:style>
  <w:style w:customStyle="1" w:styleId="Definition" w:type="paragraph">
    <w:name w:val="Definition"/>
    <w:basedOn w:val="Normal"/>
    <w:pPr>
      <w:spacing w:line="288" w:lineRule="auto"/>
      <w:jc w:val="both"/>
    </w:pPr>
    <w:rPr>
      <w:rFonts w:ascii="Times New Roman" w:eastAsia="Times New Roman" w:hAnsi="Times New Roman"/>
      <w:color w:val="000000"/>
      <w:sz w:val="26"/>
    </w:rPr>
  </w:style>
  <w:style w:styleId="Caption" w:type="paragraph">
    <w:name w:val="Caption"/>
    <w:basedOn w:val="Normal"/>
    <w:link w:val="BodyTextChar"/>
    <w:pPr>
      <w:spacing w:after="120" w:before="0" w:line="288" w:lineRule="auto"/>
      <w:jc w:val="both"/>
    </w:pPr>
    <w:rPr>
      <w:rFonts w:ascii="Times New Roman" w:eastAsia="Times New Roman" w:hAnsi="Times New Roman"/>
      <w:i/>
      <w:color w:val="000000"/>
      <w:sz w:val="26"/>
    </w:rPr>
  </w:style>
  <w:style w:customStyle="1" w:styleId="TableCaption" w:type="paragraph">
    <w:name w:val="Table Caption"/>
    <w:basedOn w:val="Caption"/>
    <w:pPr>
      <w:keepNext/>
      <w:spacing w:line="288" w:lineRule="auto"/>
      <w:jc w:val="both"/>
    </w:pPr>
    <w:rPr>
      <w:rFonts w:ascii="Times New Roman" w:eastAsia="Times New Roman" w:hAnsi="Times New Roman"/>
      <w:color w:val="000000"/>
      <w:sz w:val="26"/>
    </w:rPr>
  </w:style>
  <w:style w:customStyle="1" w:styleId="ImageCaption" w:type="paragraph">
    <w:name w:val="Image Caption"/>
    <w:basedOn w:val="Caption"/>
    <w:pPr>
      <w:spacing w:line="288" w:lineRule="auto"/>
      <w:jc w:val="both"/>
    </w:pPr>
    <w:rPr>
      <w:rFonts w:ascii="Times New Roman" w:eastAsia="Times New Roman" w:hAnsi="Times New Roman"/>
      <w:color w:val="000000"/>
      <w:sz w:val="26"/>
    </w:rPr>
  </w:style>
  <w:style w:customStyle="1" w:styleId="Figure" w:type="paragraph">
    <w:name w:val="Figure"/>
    <w:basedOn w:val="Normal"/>
    <w:pPr>
      <w:spacing w:line="288" w:lineRule="auto"/>
      <w:jc w:val="both"/>
    </w:pPr>
    <w:rPr>
      <w:rFonts w:ascii="Times New Roman" w:eastAsia="Times New Roman" w:hAnsi="Times New Roman"/>
      <w:color w:val="000000"/>
      <w:sz w:val="26"/>
    </w:rPr>
  </w:style>
  <w:style w:customStyle="1" w:styleId="CaptionedFigure" w:type="paragraph">
    <w:name w:val="Captioned Figure"/>
    <w:basedOn w:val="Figure"/>
    <w:pPr>
      <w:keepNext/>
      <w:spacing w:line="288" w:lineRule="auto"/>
      <w:jc w:val="both"/>
    </w:pPr>
    <w:rPr>
      <w:rFonts w:ascii="Times New Roman" w:eastAsia="Times New Roman" w:hAnsi="Times New Roman"/>
      <w:color w:val="000000"/>
      <w:sz w:val="26"/>
    </w:rPr>
  </w:style>
  <w:style w:customStyle="1" w:styleId="BodyTextChar" w:type="character">
    <w:name w:val="Body Text Char"/>
    <w:basedOn w:val="DefaultParagraphFont"/>
    <w:link w:val="BodyText"/>
    <w:rPr>
      <w:rFonts w:ascii="Times New Roman" w:eastAsia="Times New Roman" w:hAnsi="Times New Roman"/>
      <w:color w:val="000000"/>
      <w:sz w:val="26"/>
    </w:rPr>
  </w:style>
  <w:style w:customStyle="1" w:styleId="VerbatimChar" w:type="character">
    <w:name w:val="Verbatim Char"/>
    <w:basedOn w:val="BodyTextChar"/>
    <w:rPr>
      <w:rFonts w:ascii="Times New Roman" w:eastAsia="Times New Roman" w:hAnsi="Times New Roman"/>
      <w:color w:val="000000"/>
      <w:sz w:val="26"/>
    </w:rPr>
  </w:style>
  <w:style w:customStyle="1" w:styleId="SectionNumber" w:type="character">
    <w:name w:val="Section Number"/>
    <w:basedOn w:val="BodyTextChar"/>
    <w:rPr>
      <w:rFonts w:ascii="Times New Roman" w:eastAsia="Times New Roman" w:hAnsi="Times New Roman"/>
      <w:color w:val="000000"/>
      <w:sz w:val="26"/>
    </w:rPr>
  </w:style>
  <w:style w:styleId="FootnoteReference" w:type="character">
    <w:name w:val="Footnote Reference"/>
    <w:basedOn w:val="BodyTextChar"/>
    <w:rPr>
      <w:rFonts w:ascii="Times New Roman" w:eastAsia="Times New Roman" w:hAnsi="Times New Roman"/>
      <w:color w:val="000000"/>
      <w:sz w:val="26"/>
      <w:vertAlign w:val="superscript"/>
    </w:rPr>
  </w:style>
  <w:style w:styleId="Hyperlink" w:type="character">
    <w:name w:val="Hyperlink"/>
    <w:basedOn w:val="BodyTextChar"/>
    <w:rPr>
      <w:rFonts w:ascii="Times New Roman" w:eastAsia="Times New Roman" w:hAnsi="Times New Roman"/>
      <w:color w:val="000000"/>
      <w:sz w:val="26"/>
    </w:rPr>
  </w:style>
  <w:style w:styleId="TOCHeading" w:type="paragraph">
    <w:name w:val="TOC Heading"/>
    <w:basedOn w:val="Heading1"/>
    <w:next w:val="BodyText"/>
    <w:uiPriority w:val="39"/>
    <w:unhideWhenUsed/>
    <w:qFormat/>
    <w:pPr>
      <w:spacing w:before="240" w:line="288" w:lineRule="auto"/>
      <w:jc w:val="both"/>
      <w:outlineLvl w:val="9"/>
    </w:pPr>
    <w:rPr>
      <w:rFonts w:ascii="Times New Roman" w:asciiTheme="majorHAnsi" w:cstheme="majorBidi" w:eastAsia="Times New Roman" w:eastAsiaTheme="majorEastAsia" w:hAnsi="Times New Roman" w:hAnsiTheme="majorHAnsi"/>
      <w:b w:val="0"/>
      <w:bCs w:val="0"/>
      <w:color w:val="000000"/>
      <w:sz w:val="26"/>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42" Target="media/rId42.png" /><Relationship Type="http://schemas.openxmlformats.org/officeDocument/2006/relationships/image" Id="rId49" Target="media/rId49.png" /><Relationship Type="http://schemas.openxmlformats.org/officeDocument/2006/relationships/image" Id="rId64" Target="media/rId64.png" /><Relationship Type="http://schemas.openxmlformats.org/officeDocument/2006/relationships/image" Id="rId58" Target="media/rId58.png" /><Relationship Type="http://schemas.openxmlformats.org/officeDocument/2006/relationships/image" Id="rId67" Target="media/rId6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2026-06-04T16:43:32Z</dcterms:created>
  <dcterms:modified xsi:type="dcterms:W3CDTF">2026-06-04T16:43:32Z</dcterms:modified>
</cp:coreProperties>
</file>

<file path=docProps/custom.xml><?xml version="1.0" encoding="utf-8"?>
<Properties xmlns="http://schemas.openxmlformats.org/officeDocument/2006/custom-properties" xmlns:vt="http://schemas.openxmlformats.org/officeDocument/2006/docPropsVTypes"/>
</file>