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4.png" ContentType="image/png"/>
  <Override PartName="/word/media/rId47.png" ContentType="image/png"/>
  <Override PartName="/word/media/rId50.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80"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Do Thuy Huong</w:t>
      </w:r>
      <w:r>
        <w:t xml:space="preserve"> </w:t>
      </w:r>
      <w:r>
        <w:t xml:space="preserve">· School of Economics, Can Tho University · thuyhuongctu@gmail.com · ORCID:</w:t>
      </w:r>
      <w:r>
        <w:t xml:space="preserve"> </w:t>
      </w:r>
      <w:hyperlink r:id="rId20">
        <w:r>
          <w:rPr>
            <w:rStyle w:val="Hyperlink"/>
          </w:rPr>
          <w:t xml:space="preserve">0000-0002-7711-2487</w:t>
        </w:r>
      </w:hyperlink>
      <w:r>
        <w:t xml:space="preserve"> </w:t>
      </w:r>
      <w:r>
        <w:rPr>
          <w:bCs/>
          <w:b/>
        </w:rPr>
        <w:t xml:space="preserve">Phan Anh Tu</w:t>
      </w:r>
      <w:r>
        <w:t xml:space="preserve"> </w:t>
      </w:r>
      <w:r>
        <w:rPr>
          <w:iCs/>
          <w:i/>
        </w:rPr>
        <w:t xml:space="preserve">(Corresponding author)</w:t>
      </w:r>
      <w:r>
        <w:t xml:space="preserve"> </w:t>
      </w:r>
      <w:r>
        <w:t xml:space="preserve">· School of Economics, Can Tho University · patu@ctu.edu.vn · ORCID:</w:t>
      </w:r>
      <w:r>
        <w:t xml:space="preserve"> </w:t>
      </w:r>
      <w:hyperlink r:id="rId21">
        <w:r>
          <w:rPr>
            <w:rStyle w:val="Hyperlink"/>
          </w:rPr>
          <w:t xml:space="preserve">0000-0003-0667-3137</w:t>
        </w:r>
      </w:hyperlink>
    </w:p>
    <w:p>
      <w:pPr>
        <w:pStyle w:val="BodyText"/>
      </w:pPr>
      <w:r>
        <w:rPr>
          <w:iCs/>
          <w:i/>
        </w:rPr>
        <w:t xml:space="preserve">Target journal: Journal of Economics and Development (JED), Emerald Publishing on behalf of National Economics University (NEU)</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16,800 words (reduction to ~9,500 pending — see RECONCILIATION_NOTES.md).</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TCI and DAI interactions with FSTS).</w:t>
      </w:r>
    </w:p>
    <w:p>
      <w:r>
        <w:pict>
          <v:rect style="width:0;height:1.5pt" o:hralign="center" o:hrstd="t" o:hr="t"/>
        </w:pict>
      </w:r>
    </w:p>
    <w:bookmarkStart w:id="22" w:name="abstract"/>
    <w:p>
      <w:pPr>
        <w:pStyle w:val="Heading2"/>
      </w:pPr>
      <w:r>
        <w:t xml:space="preserve">Abstract</w:t>
      </w:r>
    </w:p>
    <w:p>
      <w:pPr>
        <w:pStyle w:val="FirstParagraph"/>
      </w:pPr>
      <w:r>
        <w:rPr>
          <w:bCs/>
          <w:b/>
        </w:rPr>
        <w:t xml:space="preserve">Purpose.</w:t>
      </w:r>
      <w:r>
        <w:t xml:space="preserve"> </w:t>
      </w:r>
      <w:r>
        <w:t xml:space="preserve">This study revisits the internationalisation–performance relationship in Vietnam across three survey waves, testing whether technological capability moderates export-intensity effects and whether a Tier-1 digital indicator evolves across institutional generations.</w:t>
      </w:r>
    </w:p>
    <w:p>
      <w:pPr>
        <w:pStyle w:val="BodyText"/>
      </w:pPr>
      <w:r>
        <w:rPr>
          <w:bCs/>
          <w:b/>
        </w:rPr>
        <w:t xml:space="preserve">Design/methodology/approach.</w:t>
      </w:r>
      <w:r>
        <w:t xml:space="preserve"> </w:t>
      </w:r>
      <w:r>
        <w:t xml:space="preserve">Three waves of the WBES Vietnam (2009, 2015, 2023; N = 2,958) underpin wave-specific and pooled OLS models with HC1 robust standard errors, quadratic FSTS terms, and capability interactions. Lind–Mehlum U-tests verify the inverted-U; Paternoster z-tests evaluate cross-wave coefficient equality.</w:t>
      </w:r>
    </w:p>
    <w:p>
      <w:pPr>
        <w:pStyle w:val="BodyText"/>
      </w:pPr>
      <w:r>
        <w:rPr>
          <w:bCs/>
          <w:b/>
        </w:rPr>
        <w:t xml:space="preserve">Findings.</w:t>
      </w:r>
      <w:r>
        <w:t xml:space="preserve"> </w:t>
      </w:r>
      <w:r>
        <w:t xml:space="preserve">The inverted-U between export intensity and labour productivity holds across all three waves, with turning points clustered at 39–46% FSTS — a band durable over 14 years of institutional change. The nonlinearity traces to a participation-margin step: restricted to exporters, the quadratic term loses significance (β = −0.200, p = .660). TCI positively moderates the I–P curvature; the website indicator follows a proxy-obsolescence trajectory (positive 2009 → null 2015 → negatively interactive 2023).</w:t>
      </w:r>
    </w:p>
    <w:p>
      <w:pPr>
        <w:pStyle w:val="BodyText"/>
      </w:pPr>
      <w:r>
        <w:rPr>
          <w:bCs/>
          <w:b/>
        </w:rPr>
        <w:t xml:space="preserve">Research limitations/implications.</w:t>
      </w:r>
      <w:r>
        <w:t xml:space="preserve"> </w:t>
      </w:r>
      <w:r>
        <w:t xml:space="preserve">Repeated cross-section design supports associational inference only. The Tier-1 binary website measure limits broader digital-transformation claims; richer Tier 2–3 indicators are needed.</w:t>
      </w:r>
    </w:p>
    <w:p>
      <w:pPr>
        <w:pStyle w:val="BodyText"/>
      </w:pPr>
      <w:r>
        <w:rPr>
          <w:bCs/>
          <w:b/>
        </w:rPr>
        <w:t xml:space="preserve">Practical implications.</w:t>
      </w:r>
      <w:r>
        <w:t xml:space="preserve"> </w:t>
      </w:r>
      <w:r>
        <w:t xml:space="preserve">The 39–46% FSTS band defines a bounded operating range for Vietnamese SME export expansion. For Decision 749/QĐ-TTg digital transformation policy, Tier-1 website indicators have saturated; the next phase must shift to Tier 2–3 digital capabilities.</w:t>
      </w:r>
    </w:p>
    <w:p>
      <w:pPr>
        <w:pStyle w:val="BodyText"/>
      </w:pPr>
      <w:r>
        <w:rPr>
          <w:bCs/>
          <w:b/>
        </w:rPr>
        <w:t xml:space="preserve">Originality/value.</w:t>
      </w:r>
      <w:r>
        <w:t xml:space="preserve"> </w:t>
      </w:r>
      <w:r>
        <w:t xml:space="preserve">In this zero-inflated setting, the inverted-U reflects a participation-barrier step function rather than intensity saturation. Tier-1 digital coefficients mask progressive proxy obsolescence. The turning-point cluster (39–46%) is institutionally embedded, shifting the debate from</w:t>
      </w:r>
      <w:r>
        <w:t xml:space="preserve"> </w:t>
      </w:r>
      <w:r>
        <w:t xml:space="preserve">“</w:t>
      </w:r>
      <w:r>
        <w:t xml:space="preserve">does internationalisation help?</w:t>
      </w:r>
      <w:r>
        <w:t xml:space="preserve">”</w:t>
      </w:r>
      <w:r>
        <w:t xml:space="preserve"> </w:t>
      </w:r>
      <w:r>
        <w:t xml:space="preserve">to</w:t>
      </w:r>
      <w:r>
        <w:t xml:space="preserve"> </w:t>
      </w:r>
      <w:r>
        <w:t xml:space="preserve">“</w:t>
      </w:r>
      <w:r>
        <w:t xml:space="preserve">under what institutional conditions does the threshold shift?</w:t>
      </w:r>
      <w:r>
        <w:t xml:space="preserve">”</w:t>
      </w:r>
      <w:r>
        <w:t xml:space="preserve">.</w:t>
      </w:r>
    </w:p>
    <w:p>
      <w:pPr>
        <w:pStyle w:val="BodyText"/>
      </w:pPr>
      <w:r>
        <w:rPr>
          <w:bCs/>
          <w:b/>
        </w:rPr>
        <w:t xml:space="preserve">Keywords:</w:t>
      </w:r>
      <w:r>
        <w:t xml:space="preserve"> </w:t>
      </w:r>
      <w:r>
        <w:t xml:space="preserve">internationalisation–performance; emerging markets; technological capability; threshold durability; Vietnam; firm productivity.</w:t>
      </w:r>
    </w:p>
    <w:p>
      <w:pPr>
        <w:pStyle w:val="BodyText"/>
      </w:pPr>
      <w:r>
        <w:rPr>
          <w:bCs/>
          <w:b/>
        </w:rPr>
        <w:t xml:space="preserve">JEL classification:</w:t>
      </w:r>
      <w:r>
        <w:t xml:space="preserve"> </w:t>
      </w:r>
      <w:r>
        <w:t xml:space="preserve">F23, O33, D22, L25, O53.</w:t>
      </w:r>
    </w:p>
    <w:p>
      <w:pPr>
        <w:pStyle w:val="BodyText"/>
      </w:pPr>
      <w:r>
        <w:rPr>
          <w:bCs/>
          <w:b/>
        </w:rPr>
        <w:t xml:space="preserve">Paper type:</w:t>
      </w:r>
      <w:r>
        <w:t xml:space="preserve"> </w:t>
      </w:r>
      <w:r>
        <w:t xml:space="preserve">Research paper.</w:t>
      </w:r>
    </w:p>
    <w:bookmarkEnd w:id="22"/>
    <w:bookmarkStart w:id="23"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=.006, 2015 p</w:t>
      </w:r>
      <w:r>
        <w:t xml:space="preserve"> </w:t>
      </w:r>
      <w:r>
        <w:t xml:space="preserve">=.009, 2023 p =.013) and in the pooled sample (p &lt;.001), with turning points clustered</w:t>
      </w:r>
      <w:r>
        <w:t xml:space="preserve"> </w:t>
      </w:r>
      <w:r>
        <w:t xml:space="preserve">between 39 and 46 % of direct-export intensity.</w:t>
      </w:r>
    </w:p>
    <w:p>
      <w:pPr>
        <w:pStyle w:val="BodyText"/>
      </w:pPr>
      <w:r>
        <w:t xml:space="preserve"> Technological capability is the primary capability construct:</w:t>
      </w:r>
      <w:r>
        <w:t xml:space="preserve"> </w:t>
      </w:r>
      <m:oMath>
        <m:sSub>
          <m:e>
            <m:r>
              <m:rPr>
                <m:nor/>
                <m:sty m:val="p"/>
              </m:rPr>
              <m:t>TCI</m:t>
            </m:r>
          </m:e>
          <m:sub>
            <m:r>
              <m:t>z</m:t>
            </m:r>
          </m:sub>
        </m:sSub>
      </m:oMath>
      <w:r>
        <w:t xml:space="preserve"> </w:t>
      </w:r>
      <w:r>
        <w:t xml:space="preserve">is the within-wave standardised mean of quality certification and foreign-licensed technology. A single-item website-presence indicator (</w:t>
      </w:r>
      <m:oMath>
        <m:sSub>
          <m:e>
            <m:r>
              <m:rPr>
                <m:nor/>
                <m:sty m:val="p"/>
              </m:rPr>
              <m:t>DAI</m:t>
            </m:r>
          </m:e>
          <m:sub>
            <m:r>
              <m:t>z</m:t>
            </m:r>
          </m:sub>
        </m:sSub>
      </m:oMath>
      <w:r>
        <w:t xml:space="preserve">, Tier 1 only) is retained as a baseline digital-presence control given the WBES Vietnam measurement constraint; the two share no items.</w:t>
      </w:r>
    </w:p>
    <w:p>
      <w:pPr>
        <w:pStyle w:val="BodyText"/>
      </w:pPr>
      <w:r>
        <w:t xml:space="preserve"></w:t>
      </w:r>
      <w:r>
        <w:t xml:space="preserve"> </w:t>
      </w:r>
      <m:oMath>
        <m:sSub>
          <m:e>
            <m:r>
              <m:rPr>
                <m:nor/>
                <m:sty m:val="p"/>
              </m:rPr>
              <m:t>TCI</m:t>
            </m:r>
          </m:e>
          <m:sub>
            <m:r>
              <m:t>z</m:t>
            </m:r>
          </m:sub>
        </m:sSub>
      </m:oMath>
      <w:r>
        <w:t xml:space="preserve"> </w:t>
      </w:r>
      <w:r>
        <w:t xml:space="preserve">is positively associated with productivity in all three waves (</w:t>
      </w:r>
      <m:oMath>
        <m:r>
          <m:t>β</m:t>
        </m:r>
      </m:oMath>
      <w:r>
        <w:t xml:space="preserve"> </w:t>
      </w:r>
      <w:r>
        <w:t xml:space="preserve">= 0.215, 0.128, 0.123) and pooled (</w:t>
      </w:r>
      <m:oMath>
        <m:r>
          <m:t>β</m:t>
        </m:r>
      </m:oMath>
      <w:r>
        <w:t xml:space="preserve"> </w:t>
      </w:r>
      <w:r>
        <w:t xml:space="preserve">= 0.179, p &lt;.001), and moderates the curvature in three of four panels (M3 joint p =.040,.713,.027 and.003).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a step function across the export-participation barrier rather than a continuous within-exporter saturation curve</w:t>
      </w:r>
      <w:r>
        <w:t xml:space="preserve">: re-fitted on the exporter-only sub-sample (FSTS &gt; 0; pooled N = 669), the quadratic FSTS term loses significance (</w:t>
      </w:r>
      <m:oMath>
        <m:r>
          <m:t>β</m:t>
        </m:r>
      </m:oMath>
      <w:r>
        <w:t xml:space="preserve"> </w:t>
      </w:r>
      <w:r>
        <w:t xml:space="preserve">= -0.200, p =.660); only ~1.0 % of pooled firms sit within $</w:t>
      </w:r>
      <w:r>
        <w:t xml:space="preserve">$5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w:t>
      </w:r>
      <m:oMath>
        <m:r>
          <m:t>β</m:t>
        </m:r>
      </m:oMath>
      <w:r>
        <w:t xml:space="preserve"> </w:t>
      </w:r>
      <w:r>
        <w:t xml:space="preserve">= 0.175), null in 2015 (</w:t>
      </w:r>
      <m:oMath>
        <m:r>
          <m:t>β</m:t>
        </m:r>
      </m:oMath>
      <w:r>
        <w:t xml:space="preserve"> </w:t>
      </w:r>
      <w:r>
        <w:t xml:space="preserve">= -0.044), and positive in 2023 (</w:t>
      </w:r>
      <m:oMath>
        <m:r>
          <m:t>β</m:t>
        </m:r>
      </m:oMath>
      <w:r>
        <w:t xml:space="preserve"> </w:t>
      </w:r>
      <w:r>
        <w:t xml:space="preserve">= 0.095); the negative</w:t>
      </w:r>
      <w:r>
        <w:t xml:space="preserve"> </w:t>
      </w:r>
      <m:oMath>
        <m:r>
          <m:rPr>
            <m:nor/>
            <m:sty m:val="p"/>
          </m:rPr>
          <m:t>DAI</m:t>
        </m:r>
        <m:r>
          <m:rPr>
            <m:sty m:val="p"/>
          </m:rPr>
          <m:t>×</m:t>
        </m:r>
        <m:r>
          <m:rPr>
            <m:nor/>
            <m:sty m:val="p"/>
          </m:rPr>
          <m:t>FSTS</m:t>
        </m:r>
      </m:oMath>
      <w:r>
        <w:t xml:space="preserve"> </w:t>
      </w:r>
      <w:r>
        <w:t xml:space="preserve">interaction observed only in 2023 (</w:t>
      </w:r>
      <m:oMath>
        <m:sSub>
          <m:e>
            <m:r>
              <m:rPr>
                <m:nor/>
                <m:sty m:val="p"/>
              </m:rPr>
              <m:t>FSTS</m:t>
            </m:r>
          </m:e>
          <m:sub>
            <m:r>
              <m:t>c</m:t>
            </m:r>
          </m:sub>
        </m:sSub>
        <m:r>
          <m:rPr>
            <m:sty m:val="p"/>
          </m:rPr>
          <m:t>×</m:t>
        </m:r>
        <m:sSub>
          <m:e>
            <m:r>
              <m:rPr>
                <m:nor/>
                <m:sty m:val="p"/>
              </m:rPr>
              <m:t>DAI</m:t>
            </m:r>
          </m:e>
          <m:sub>
            <m:r>
              <m:t>z</m:t>
            </m:r>
          </m:sub>
        </m:sSub>
      </m:oMath>
      <w:r>
        <w:t xml:space="preserve"> </w:t>
      </w:r>
      <w:r>
        <w:t xml:space="preserve">= -0.912, p =.043) is read as Tier-1 proxy obsolescence as website ownership diffuses to near-universal levels (49.8 % in 2023 vs 42.5 % in 2009), not as evidence on dynamic digital capability moderation.</w:t>
      </w:r>
    </w:p>
    <w:bookmarkEnd w:id="23"/>
    <w:bookmarkStart w:id="28" w:name="introduction"/>
    <w:p>
      <w:pPr>
        <w:pStyle w:val="Heading2"/>
      </w:pPr>
      <w:r>
        <w:t xml:space="preserve">1. Introduction</w:t>
      </w:r>
    </w:p>
    <w:bookmarkStart w:id="24" w:name="background-and-motivation"/>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does not lend itself to the assumption of a simple linear performance premium.</w:t>
      </w:r>
      <w:r>
        <w:t xml:space="preserve"> </w:t>
      </w:r>
      <w:r>
        <w:t xml:space="preserve">Foreign involvement opens access to larger markets, learning, and diversified revenue, yet it also brings rising coordination costs, heavier information-processing burdens, and organisational strain as that involvement deepens (Wright et al., 2005; Cuervo-Cazurra and</w:t>
      </w:r>
      <w:r>
        <w:t xml:space="preserve"> </w:t>
      </w:r>
      <w:r>
        <w:t xml:space="preserve">Genc, 2008; Wu et al., 2016).</w:t>
      </w:r>
      <w:r>
        <w:t xml:space="preserve"> </w:t>
      </w:r>
      <w:r>
        <w:t xml:space="preserve">This tension lies at the heart of the I–P literature. A long tradition of work holds that internationalisation improves performance at lower and intermediate levels through scale,</w:t>
      </w:r>
      <w:r>
        <w:t xml:space="preserve"> </w:t>
      </w:r>
      <w:r>
        <w:t xml:space="preserve">learning, and diversification, while complexity and coordination burdens drag returns toward zero or below them at higher levels. Meta-analytic evidence indicates that this nonlinearity is a central feature of the relationship, not an empirical anomaly</w:t>
      </w:r>
      <w:r>
        <w:t xml:space="preserve"> </w:t>
      </w:r>
      <w:r>
        <w:t xml:space="preserve">(Vernon, 1979; Lu and Beamish, 2004; Hennart, 2007; Coviello et al., 2017; Marano et al., 2016).</w:t>
      </w:r>
      <w:r>
        <w:t xml:space="preserve"> </w:t>
      </w:r>
      <w:r>
        <w:t xml:space="preserve">Digitalisation layers a further complication onto this debate. Digital tools can cut communication frictions, speed transactions, and support cross-border coordination, but the benefits do not arrive automatically. Their realised value depends on whether a firm holds the organisational depth, absorptive capacity, and complementary routines needed to convert digital adoption into productivity gains (Cohen and Levinthal, 1990; Vial, 2019; Verhoef et al.,</w:t>
      </w:r>
      <w:r>
        <w:t xml:space="preserve"> </w:t>
      </w:r>
      <w:r>
        <w:t xml:space="preserve">2021; Stallkamp and Schotter, 2021; Petricevic and Teece, 2019). Digital capability, then, is poorly described as a universally beneficial resource whose payoff stays constant across</w:t>
      </w:r>
      <w:r>
        <w:t xml:space="preserve"> </w:t>
      </w:r>
      <w:r>
        <w:t xml:space="preserve">firms and over time.</w:t>
      </w:r>
      <w:r>
        <w:t xml:space="preserve"> </w:t>
      </w:r>
      <w:r>
        <w:t xml:space="preserve">The Vietnamese setting makes this issue especially pointed. Firms here are embedded</w:t>
      </w:r>
      <w:r>
        <w:t xml:space="preserve"> </w:t>
      </w:r>
      <w:r>
        <w:t xml:space="preserve">in an economy that is upgrading capability and passing through digital transition at the same time, so both the gains from</w:t>
      </w:r>
      <w:r>
        <w:t xml:space="preserve"> </w:t>
      </w:r>
      <w:r>
        <w:t xml:space="preserve">internationalisation and the payoff from digitalisation may shift across stages of development. The central question for this study follows directly: does digital capability in Vietnam behave</w:t>
      </w:r>
      <w:r>
        <w:t xml:space="preserve"> </w:t>
      </w:r>
      <w:r>
        <w:t xml:space="preserve">as a stable performance-enhancing asset, or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exporter cohort itself changes composition across</w:t>
      </w:r>
      <w:r>
        <w:t xml:space="preserve"> </w:t>
      </w:r>
      <w:r>
        <w:t xml:space="preserve">the three waves: the share of firms reporting any positive direct-export intensity falls as</w:t>
      </w:r>
      <w:r>
        <w:t xml:space="preserve"> </w:t>
      </w:r>
      <w:r>
        <w:t xml:space="preserve">services and FDI-linked supply-chain firms enter the sample, while average foundational digital adoption rises with the diffusion of websites, electronic payment systems, and</w:t>
      </w:r>
      <w:r>
        <w:t xml:space="preserve"> </w:t>
      </w:r>
      <w:r>
        <w:t xml:space="preserve">digital transaction interfaces. To read the I–P relationship and the digital-adoption channel as</w:t>
      </w:r>
      <w:r>
        <w:t xml:space="preserve"> </w:t>
      </w:r>
      <w:r>
        <w:t xml:space="preserve">fixed structural facts across this fourteen-year window is to miss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driven primarily by the participation margin, the productivity gap between firms that cross from non-exporting to any positive export intensity,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The participation-margin mechanism itself is well established in the trade and selection literatures, Melitz (2003) on heterogeneous firms with sunk export costs, Wagner (2007) on exporter productivity premia, and Bernard et al. (2007, 2012) on extensive-margin productivity gains. The contribution of this study is not to discover this mechanism but to document that, in three repeated cross-sections of Vietnamese firms, the participation-margin effect is large enough to explain the entire apparent inverted-U observed in standard FSTS-and-FSTS² specifications, with the within-exporter curvature statistically flat. This locates the productivity-relevant friction at the participation margin where institutional and capability constraints bind hardest in a transitional setting.</w:t>
      </w:r>
    </w:p>
    <w:bookmarkEnd w:id="24"/>
    <w:bookmarkStart w:id="25" w:name="research-gap"/>
    <w:p>
      <w:pPr>
        <w:pStyle w:val="Heading3"/>
      </w:pPr>
      <w:r>
        <w:t xml:space="preserve">1.2 Research gap</w:t>
      </w:r>
    </w:p>
    <w:p>
      <w:pPr>
        <w:pStyle w:val="FirstParagraph"/>
      </w:pPr>
      <w:r>
        <w:t xml:space="preserve">This study addresses three gaps that remain unresolved in the existing literature.</w:t>
      </w:r>
    </w:p>
    <w:p>
      <w:pPr>
        <w:pStyle w:val="BodyText"/>
      </w:pPr>
      <w:r>
        <w:t xml:space="preserve">One gap concerns how digitalisation is theorised. Much existing work treats it as a broadly positive resource and pays little attention to temporal and contextual variation in its payoff. That treatment risks implying a relatively stable performance premium across firms and across stages of economic transition (Strange and Zucchella, 2017; Goldfarb and Tucker, 2019). The returns are more likely to be uneven, since firms differ in scale, routines, and complementary capability.</w:t>
      </w:r>
    </w:p>
    <w:p>
      <w:pPr>
        <w:pStyle w:val="BodyText"/>
      </w:pPr>
      <w:r>
        <w:t xml:space="preserve">A second gap concerns construct clarity. The distinction between technological capability and digital adoption remains underdeveloped. Technological capability refers to deeper firm-internal stocks of learning, problem-solving, process improvement, and innovation capacity (Lall, 1992); foundational digital adoption reflects a more basic layer of digital readiness and digitally enabled interfaces or transaction mechanisms (Bharadwaj et al., 2013; Verhoef et al., 2021; Hanelt et al., 2021; Brouthers et al., 2016). The two are related, but treating them as interchangeable, and collapsing them into a single umbrella variable, blurs the mechanisms that link digitalisation to performance.</w:t>
      </w:r>
    </w:p>
    <w:p>
      <w:pPr>
        <w:pStyle w:val="BodyText"/>
      </w:pPr>
      <w:r>
        <w:t xml:space="preserve">The remaining gap is methodological. Pooled estimates can obscure substantial lifecycle heterogeneity. Where firms and institutions pass through distinct stages of transition, as in Vietnam, the roles of internationalisation, technological capability, and digital adoption may vary considerably across survey waves. A pooled model identifies average effects well enough, but it falls short once the underlying relationships shift over time. A design that combines pooled and wave-specific analysis is therefore needed to determine whether the observed effects are stable or stage contingent.</w:t>
      </w:r>
    </w:p>
    <w:p>
      <w:pPr>
        <w:pStyle w:val="BodyText"/>
      </w:pPr>
      <w:r>
        <w:t xml:space="preserve">Recent meta-analytic work reinforces this concern. Pisani, Garcia-Bernardo, and Heemskerk (2020) find that the inverted-U relationship between internationalisation and performance weakens substantially, and sometimes disappears, under more rigorous identification in cross-national pooled samples, suggesting that aggregation across heterogeneous institutional contexts inflates apparent functional-form regularity. Wu, Fan, and Chen (2022) extend this argument by showing in a meta-analysis of emerging-market multinationals (EMNEs) that institutional context moderates I–P effect sizes more powerfully than firm-level capability variables. Taken together, these findings imply that within-country longitudinal designs, which hold institutional context constant while varying time,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at 45.8% of total trade value, displacing the historically dominant textiles cluster, reflecting a structural upgrade in production capability that proceeded in parallel with the three survey waves (World Bank, 2025c).</w:t>
      </w:r>
    </w:p>
    <w:bookmarkEnd w:id="25"/>
    <w:bookmarkStart w:id="26" w:name="contribution"/>
    <w:p>
      <w:pPr>
        <w:pStyle w:val="Heading3"/>
      </w:pPr>
      <w:r>
        <w:t xml:space="preserve">1.3 Contribution</w:t>
      </w:r>
    </w:p>
    <w:p>
      <w:pPr>
        <w:pStyle w:val="FirstParagraph"/>
      </w:pPr>
      <w:r>
        <w:t xml:space="preserve">This study makes four contributions to the literature.</w:t>
      </w:r>
    </w:p>
    <w:p>
      <w:pPr>
        <w:pStyle w:val="BodyText"/>
      </w:pPr>
      <w:r>
        <w:t xml:space="preserve">It first refines the I–P debate. The Vietnamese evidence supports a nonlinear relationship, but the salience and visibility of that relationship vary across time. Nonlinearity, on this reading, is not a fixed structural fact that appears identically in every period; the I–P curve has to be read alongside the broader capability environment.</w:t>
      </w:r>
    </w:p>
    <w:p>
      <w:pPr>
        <w:pStyle w:val="BodyText"/>
      </w:pPr>
      <w:r>
        <w:t xml:space="preserve">The study also improves construct validity by separating technological capability from foundational digital adoption. The distinction matters theoretically, because deeper capability stocks and basic digital enablement may drive performance through different channels, and empirically, because the two constructs do not trace identical patterns across the Vietnamese waves.</w:t>
      </w:r>
    </w:p>
    <w:p>
      <w:pPr>
        <w:pStyle w:val="BodyText"/>
      </w:pPr>
      <w:r>
        <w:t xml:space="preserve">A further contribution is a cross-wave, stage-dependency reading of digital internationalisation. The WBES data are repeated cross-sections rather than a firm panel, so within-firm trajectories cannot be observed directly; even so, the cross-wave evidence points to digital capability as neither a universally stable premium nor a uniformly ineffective resource. It appears instead as an uneven, snapshot-contingent source of performance heterogeneity across institutional phases, which helps explain how pooled average effects coexist with substantial wave-specific differences.</w:t>
      </w:r>
    </w:p>
    <w:p>
      <w:pPr>
        <w:pStyle w:val="BodyText"/>
      </w:pPr>
      <w:r>
        <w:t xml:space="preserve">The final contribution reframes the</w:t>
      </w:r>
      <w:r>
        <w:t xml:space="preserve"> </w:t>
      </w:r>
      <w:r>
        <w:rPr>
          <w:iCs/>
          <w:i/>
        </w:rPr>
        <w:t xml:space="preserve">interpretation</w:t>
      </w:r>
      <w:r>
        <w:t xml:space="preserve"> </w:t>
      </w:r>
      <w:r>
        <w:t xml:space="preserve">of the apparent inverted-U: the Vietnamese evidence suggests that the robustly identified turning point (39–46 % FSTS) reflects a step function across the export-participation barrier rather than a continuous coordination-cost saturation curve. The decomposition is sharp: re-fitted on the exporter-only sub-sample, the quadratic FSTS term collapses to a non-significant</w:t>
      </w:r>
      <w:r>
        <w:t xml:space="preserve"> </w:t>
      </w:r>
      <m:oMath>
        <m:r>
          <m:t>β</m:t>
        </m:r>
      </m:oMath>
      <w:r>
        <w:t xml:space="preserve"> </w:t>
      </w:r>
      <w:r>
        <w:t xml:space="preserve">= -0.200 (p =.660), and only ~1.0 % of pooled firms occupy the $</w:t>
      </w:r>
      <w:r>
        <w:t xml:space="preserve">$5 percentage-point neighbourhood of the turning point. The participation-margin mechanism itself is well-known in the trade literature (Melitz, 2003; Bernard et al., 2007, 2012; Wagner, 2007); the contribution of this study is empirical decomposition, not mechanism discovery. This locates the productivity-relevant friction at the participation margin, where institutional, capability, and sunk-cost barriers bind hardest in a transitional economy,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6"/>
    <w:bookmarkStart w:id="27" w:name="roadmap"/>
    <w:p>
      <w:pPr>
        <w:pStyle w:val="Heading3"/>
      </w:pPr>
      <w:r>
        <w:t xml:space="preserve">1.4 Roadmap</w:t>
      </w:r>
    </w:p>
    <w:p>
      <w:pPr>
        <w:pStyle w:val="FirstParagraph"/>
      </w:pPr>
      <w:r>
        <w:t xml:space="preserve">The remainder of the paper is organised as follows. Section 2 develops the theoretical framework and hypotheses, and Section 3 describes the data, variables, and empirical strategy. Section 4 presents the results, Section 5 discusses the theoretical and managerial implications, and Section 6 concludes.</w:t>
      </w:r>
    </w:p>
    <w:bookmarkEnd w:id="27"/>
    <w:bookmarkEnd w:id="28"/>
    <w:bookmarkStart w:id="36" w:name="theory-and-hypotheses"/>
    <w:p>
      <w:pPr>
        <w:pStyle w:val="Heading2"/>
      </w:pPr>
      <w:r>
        <w:t xml:space="preserve">2. Theory and hypotheses</w:t>
      </w:r>
    </w:p>
    <w:bookmarkStart w:id="29" w:name="X3b7d35b763b13aa013dc5c38abee688672fbd10"/>
    <w:p>
      <w:pPr>
        <w:pStyle w:val="Heading3"/>
      </w:pPr>
      <w:r>
        <w:t xml:space="preserve">2.1 Internationalisation and firm performance</w:t>
      </w:r>
    </w:p>
    <w:p>
      <w:pPr>
        <w:pStyle w:val="FirstParagraph"/>
      </w:pPr>
      <w:r>
        <w:t xml:space="preserve">In a transitional economy such as Vietnam, the internationalisation–performance (I–P) relationship is unlikely to be linear. Foreign expansion lifts performance through market reach, diversification, and learning (Contractor, 2007; Marano et al., 2016), but deeper engagement generates coordination costs that may dominate at higher levels of foreign exposure (Hitt et al., 1997; Hennart, 2011). The classic non-linear specification follows from this cost-benefit balance, with the Uppsala process model (Vahlne and Johanson, 2017; Knight and Liesch, 2016) similarly emphasising that gains and adjustment costs unfold incrementally as firms accumulate market knowledge and commitment.</w:t>
      </w:r>
    </w:p>
    <w:p>
      <w:pPr>
        <w:pStyle w:val="BodyText"/>
      </w:pPr>
      <w:r>
        <w:t xml:space="preserve">Vietnam’s institutional context sharpens this curvature. In a transitional setting where ports, trade-finance institutions, digital marketplaces, and dispute-resolution mechanisms are still maturing (Williamson, 1985; Hennart, 2007), the threshold at which coordination costs overwhelm scale benefits may bind at a lower level of export intensity than in mature economies.</w:t>
      </w:r>
    </w:p>
    <w:p>
      <w:pPr>
        <w:pStyle w:val="BodyText"/>
      </w:pPr>
      <w:r>
        <w:t xml:space="preserve">A second consideration is the structure of WBES Vietnam direct-export intensity (FSTS). The variable is heavily zero-inflated: non-exporter shares are 71.6% (2009), 79.3% (2015), and 81.2% (2023), pooled 77.4%. The I–P relationship therefore decomposes into two analytically distinct margins. The</w:t>
      </w:r>
      <w:r>
        <w:t xml:space="preserve"> </w:t>
      </w:r>
      <w:r>
        <w:rPr>
          <w:bCs/>
          <w:b/>
        </w:rPr>
        <w:t xml:space="preserve">participation margin</w:t>
      </w:r>
      <w:r>
        <w:t xml:space="preserve"> </w:t>
      </w:r>
      <w:r>
        <w:t xml:space="preserve">captures the step from FSTS = 0 to FSTS &gt; 0, where firms absorb fixed entry costs and acquire learning-by-exporting (Bernard et al., 2007; Wagner, 2007). The</w:t>
      </w:r>
      <w:r>
        <w:t xml:space="preserve"> </w:t>
      </w:r>
      <w:r>
        <w:rPr>
          <w:bCs/>
          <w:b/>
        </w:rPr>
        <w:t xml:space="preserve">intensity margin</w:t>
      </w:r>
      <w:r>
        <w:t xml:space="preserve"> </w:t>
      </w:r>
      <w:r>
        <w:t xml:space="preserve">captures FSTS variation within the exporter sub-sample, where scale economies and coordination burdens compete.</w:t>
      </w:r>
    </w:p>
    <w:p>
      <w:pPr>
        <w:pStyle w:val="BlockText"/>
      </w:pPr>
      <w:r>
        <w:rPr>
          <w:bCs/>
          <w:b/>
        </w:rPr>
        <w:t xml:space="preserve">H1.</w:t>
      </w:r>
      <w:r>
        <w:t xml:space="preserve"> </w:t>
      </w:r>
      <w:r>
        <w:t xml:space="preserve">The Vietnamese I–P relationship is non-monotonic in the full sample and is best understood through a participation-and-intensity structure. (H1a) Crossing from FSTS = 0 to FSTS &gt; 0 is positively associated with labour productivity. (H1b) Within the exporter sub-sample, additional intensity is expected to exhibit weaker, diminishing, or non-significant marginal returns.</w:t>
      </w:r>
    </w:p>
    <w:p>
      <w:pPr>
        <w:pStyle w:val="FirstParagraph"/>
      </w:pPr>
      <w:r>
        <w:t xml:space="preserve">The exporter-only specification (Panel H) provides the direct test of H1b: if the inverted-U reflects within-exporter intensity variation, the quadratic term should remain significant in that sub-sample.</w:t>
      </w:r>
    </w:p>
    <w:bookmarkEnd w:id="29"/>
    <w:bookmarkStart w:id="30" w:name="X4b2a32ed7154bc58721147d0dfb9df1680f1d97"/>
    <w:p>
      <w:pPr>
        <w:pStyle w:val="Heading3"/>
      </w:pPr>
      <w:r>
        <w:t xml:space="preserve">2.2 Foreign-technology and standards capability</w:t>
      </w:r>
    </w:p>
    <w:p>
      <w:pPr>
        <w:pStyle w:val="FirstParagraph"/>
      </w:pPr>
      <w:r>
        <w:t xml:space="preserve">Following the Lall (1992) tradition for emerging-market firms, this study uses a measurement-tight reading of technological capability: a foreign-technology and standards capability (TCI_z) that captures exposure to internationally recognised quality certification (b8) and foreign-licensed technology (e6). This is one observable facet of the broader Cohen and Levinthal (1990) absorptive-capacity construct and Teece (2007) dynamic-capability construct; the present measure captures the externally facing component (Eisenhardt and Martin, 2000).</w:t>
      </w:r>
    </w:p>
    <w:p>
      <w:pPr>
        <w:pStyle w:val="BodyText"/>
      </w:pPr>
      <w:r>
        <w:t xml:space="preserve">In international settings, this capability raises the firm’s productivity floor by supporting product adaptation to foreign requirements and integration of licensed technology. Even when TCI does not alter the I–P curvature, it should lift overall performance levels. A broader innovation-augmented composite (TCI_full, adding product innovation h1 and R&amp;D activity h8) is reported in §4.5 Panel A as a boundary condition.</w:t>
      </w:r>
    </w:p>
    <w:p>
      <w:pPr>
        <w:pStyle w:val="BlockText"/>
      </w:pPr>
      <w:r>
        <w:rPr>
          <w:bCs/>
          <w:b/>
        </w:rPr>
        <w:t xml:space="preserve">H2.</w:t>
      </w:r>
      <w:r>
        <w:t xml:space="preserve"> </w:t>
      </w:r>
      <w:r>
        <w:t xml:space="preserve">Foreign-technology and standards capability (TCI_z) is positively associated with labour productivity in Vietnamese firms, because exposure to internationally recognised quality certification and foreign-licensed technology raises the firm’s capacity to meet foreign market requirements and integrate external technological inputs (Lall, 1992; Cohen and Levinthal, 1990).</w:t>
      </w:r>
    </w:p>
    <w:bookmarkEnd w:id="30"/>
    <w:bookmarkStart w:id="31" w:name="website-based-digital-presence"/>
    <w:p>
      <w:pPr>
        <w:pStyle w:val="Heading3"/>
      </w:pPr>
      <w:r>
        <w:t xml:space="preserve">2.3 Website-based digital presence</w:t>
      </w:r>
    </w:p>
    <w:p>
      <w:pPr>
        <w:pStyle w:val="FirstParagraph"/>
      </w:pPr>
      <w:r>
        <w:t xml:space="preserve">The primary DAI_z is a website-based digital presence measure: a binary indicator of whether the firm has its own website (c22b). This is a foundational Tier-1 marker (Verhoef et al., 2021) and is retained because c22b is the only digital indicator the WBES instrument carries comparably across the 2009, 2015, and 2023 waves; transaction-level items appear only in 2023.</w:t>
      </w:r>
    </w:p>
    <w:p>
      <w:pPr>
        <w:pStyle w:val="BodyText"/>
      </w:pPr>
      <w:r>
        <w:t xml:space="preserve">For exporters, even foundational website adoption lowers the cost at which foreign customers can locate the firm and signals legitimacy in international transactions. The scope of these gains is bounded: a website does not by itself integrate transactions, supply chains, or decision-making.</w:t>
      </w:r>
    </w:p>
    <w:p>
      <w:pPr>
        <w:pStyle w:val="BodyText"/>
      </w:pPr>
      <w:r>
        <w:t xml:space="preserve">By 2023, website ownership has diffused to 49.8% of Vietnamese firms (vs 42.5% in 2009) and increasingly functions as an organisational hygiene factor — a</w:t>
      </w:r>
      <w:r>
        <w:t xml:space="preserve"> </w:t>
      </w:r>
      <w:r>
        <w:rPr>
          <w:iCs/>
          <w:i/>
        </w:rPr>
        <w:t xml:space="preserve">digital saturation</w:t>
      </w:r>
      <w:r>
        <w:t xml:space="preserve"> </w:t>
      </w:r>
      <w:r>
        <w:t xml:space="preserve">condition in which near-universal Tier-1 presence loses discriminating power.</w:t>
      </w:r>
      <w:r>
        <w:t xml:space="preserve"> </w:t>
      </w:r>
      <w:r>
        <w:rPr>
          <w:bCs/>
          <w:b/>
        </w:rPr>
        <w:t xml:space="preserve">DAI_z is therefore not formalised as a primary hypothesis-bearing construct</w:t>
      </w:r>
      <w:r>
        <w:t xml:space="preserve">; it is retained as a baseline digital-presence control. Future tests of digital capability moderation would require Tier 2–4 indicators (electronic-payment intensity, ERP integration, e-commerce platform adoption) not available cross-wave in WBES Vietnam.</w:t>
      </w:r>
    </w:p>
    <w:p>
      <w:pPr>
        <w:pStyle w:val="BodyText"/>
      </w:pPr>
      <w:r>
        <w:t xml:space="preserve">(The hypothesis numbering deliberately skips H3 to preserve alignment with the broader dissertation framework, in which H3 conventionally corresponds to institutional moderation in multi-country papers.)</w:t>
      </w:r>
    </w:p>
    <w:bookmarkEnd w:id="31"/>
    <w:bookmarkStart w:id="35" w:name="X6a12181a456ba9b12b58768213e8737f5c99a6d"/>
    <w:p>
      <w:pPr>
        <w:pStyle w:val="Heading3"/>
      </w:pPr>
      <w:r>
        <w:t xml:space="preserve">2.4 Stage-contingent digital value (exploratory)</w:t>
      </w:r>
    </w:p>
    <w:p>
      <w:pPr>
        <w:pStyle w:val="FirstParagraph"/>
      </w:pPr>
      <w:r>
        <w:t xml:space="preserve">Because the WBES Vietnam instrument cannot identify Tier 2–4 digital capability across waves, this paper does not advance a primary digital-transformation claim. The following frames an</w:t>
      </w:r>
      <w:r>
        <w:t xml:space="preserve"> </w:t>
      </w:r>
      <w:r>
        <w:rPr>
          <w:iCs/>
          <w:i/>
        </w:rPr>
        <w:t xml:space="preserve">exploratory probe</w:t>
      </w:r>
      <w:r>
        <w:t xml:space="preserve"> </w:t>
      </w:r>
      <w:r>
        <w:t xml:space="preserve">of whether the Tier-1 website indicator interacts with export intensity differently across waves.</w:t>
      </w:r>
    </w:p>
    <w:p>
      <w:pPr>
        <w:pStyle w:val="BodyText"/>
      </w:pPr>
      <w:r>
        <w:t xml:space="preserve">Even baseline digital presence may be stage-contingent in scope. In early phases of internationalisation, digital tools create direct gains by lowering search costs and communication friction. In later phases, the benefits become more conditional because firms face complex coordination demands that website-only digital adoption cannot bridge (Banalieva and Dhanaraj, 2019; Petricevic and Teece, 2019). Any negative DAI × FSTS interaction observed in later waves can be read through two mechanisms operating jointly: (i) stage-dependent coordination complexity where Tier-1 capability becomes insufficient at high export intensity, and (ii) construct obsolescence under population diffusion where c22b loses discriminating information content. The 2009/2015/2023 design cannot fully separate these channels within the WBES Tier-1 instrument.</w:t>
      </w:r>
    </w:p>
    <w:p>
      <w:pPr>
        <w:pStyle w:val="BlockText"/>
      </w:pPr>
      <w:r>
        <w:rPr>
          <w:bCs/>
          <w:b/>
        </w:rPr>
        <w:t xml:space="preserve">H4 (exploratory).</w:t>
      </w:r>
      <w:r>
        <w:t xml:space="preserve"> </w:t>
      </w:r>
      <w:r>
        <w:t xml:space="preserve">The productivity relevance of baseline website-presence (DAI_z, Tier 1 only) may vary across phases of internationalisation. Any DAI × FSTS moderation is expected to be wave-specific, with strongest detectability anticipated in the 2023 wave. This probe is reported descriptively; null or sign-shifting results should be read as construct-tier obsolescence rather than as evidence against dynamic digital capability moderation.</w:t>
      </w:r>
    </w:p>
    <w:p>
      <w:pPr>
        <w:pStyle w:val="CaptionedFigure"/>
      </w:pPr>
      <w:r>
        <w:drawing>
          <wp:inline>
            <wp:extent cx="5334000" cy="2930266"/>
            <wp:effectExtent b="0" l="0" r="0" t="0"/>
            <wp:docPr descr="Figure 1: Conceptual model" title="" id="33" name="Picture"/>
            <a:graphic>
              <a:graphicData uri="http://schemas.openxmlformats.org/drawingml/2006/picture">
                <pic:pic>
                  <pic:nvPicPr>
                    <pic:cNvPr descr="figures/vietnam/figure_1_conceptual_model.png" id="34" name="Picture"/>
                    <pic:cNvPicPr>
                      <a:picLocks noChangeArrowheads="1" noChangeAspect="1"/>
                    </pic:cNvPicPr>
                  </pic:nvPicPr>
                  <pic:blipFill>
                    <a:blip r:embed="rId32"/>
                    <a:stretch>
                      <a:fillRect/>
                    </a:stretch>
                  </pic:blipFill>
                  <pic:spPr bwMode="auto">
                    <a:xfrm>
                      <a:off x="0" y="0"/>
                      <a:ext cx="5334000" cy="2930266"/>
                    </a:xfrm>
                    <a:prstGeom prst="rect">
                      <a:avLst/>
                    </a:prstGeom>
                    <a:noFill/>
                    <a:ln w="9525">
                      <a:noFill/>
                      <a:headEnd/>
                      <a:tailEnd/>
                    </a:ln>
                  </pic:spPr>
                </pic:pic>
              </a:graphicData>
            </a:graphic>
          </wp:inline>
        </w:drawing>
      </w:r>
    </w:p>
    <w:p>
      <w:pPr>
        <w:pStyle w:val="ImageCaption"/>
      </w:pPr>
      <w:r>
        <w:t xml:space="preserve">Figure 1: Conceptual model</w:t>
      </w:r>
    </w:p>
    <w:p>
      <w:pPr>
        <w:pStyle w:val="BodyText"/>
      </w:pPr>
      <w:r>
        <w:rPr>
          <w:iCs/>
          <w:i/>
        </w:rPr>
        <w:t xml:space="preserve">Figure 1.</w:t>
      </w:r>
      <w:r>
        <w:t xml:space="preserve"> </w:t>
      </w:r>
      <w:r>
        <w:t xml:space="preserve">Conceptual model. H1 (inverted-U non-linearity) grounded in Uppsala (Johanson &amp; Vahlne, 1977) and coordination-cost theory (Hitt et al., 1997). H2 specifies TCI as level-shifting direct effect (Resource-Based View, Barney 1991). H4 treats DAI as exploratory probe of the Digital Capability Lens (Banalieva &amp; Dhanaraj, 2019), with single-binary Tier-1 measurement constraint acknowledged. ICRV context: Vietnam Group IV (Lower_mid_transition; WGI Rule of Law ≈ −0.09, World Bank 2023). Data: WBES 2009/2015/2023, N = 2,958 (pooled), n_wave = 989/956/1,013.</w:t>
      </w:r>
    </w:p>
    <w:bookmarkEnd w:id="35"/>
    <w:bookmarkEnd w:id="36"/>
    <w:bookmarkStart w:id="42" w:name="data-variables-and-empirical-strategy"/>
    <w:p>
      <w:pPr>
        <w:pStyle w:val="Heading2"/>
      </w:pPr>
      <w:r>
        <w:t xml:space="preserve">3. Data, variables, and empirical strategy</w:t>
      </w:r>
    </w:p>
    <w:bookmarkStart w:id="37" w:name="data-structure"/>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7"/>
    <w:bookmarkStart w:id="38" w:name="variables"/>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w:t>
      </w:r>
      <m:oMath>
        <m:sSub>
          <m:e>
            <m:r>
              <m:rPr>
                <m:nor/>
                <m:sty m:val="p"/>
              </m:rPr>
              <m:t>FSTS</m:t>
            </m:r>
          </m:e>
          <m:sub>
            <m:r>
              <m:t>c</m:t>
            </m:r>
          </m:sub>
        </m:sSub>
      </m:oMath>
      <w:r>
        <w:t xml:space="preserve">) and squared (</w:t>
      </w:r>
      <m:oMath>
        <m:sSubSup>
          <m:e>
            <m:r>
              <m:rPr>
                <m:nor/>
                <m:sty m:val="p"/>
              </m:rPr>
              <m:t>FSTS</m:t>
            </m:r>
          </m:e>
          <m:sub>
            <m:r>
              <m:t>c</m:t>
            </m:r>
          </m:sub>
          <m:sup>
            <m:r>
              <m:t>2</m:t>
            </m:r>
          </m:sup>
        </m:sSubSup>
      </m:oMath>
      <w:r>
        <w:t xml:space="preserve">) so that linear and quadratic terms can be entered jointly to test for nonlinearity. The analysis uses two distinct capability constructs. The Technological Capability Index (</w:t>
      </w:r>
      <m:oMath>
        <m:sSub>
          <m:e>
            <m:r>
              <m:rPr>
                <m:nor/>
                <m:sty m:val="p"/>
              </m:rPr>
              <m:t>TCI</m:t>
            </m:r>
          </m:e>
          <m:sub>
            <m:r>
              <m:t>z</m:t>
            </m:r>
          </m:sub>
        </m:sSub>
      </m:oMath>
      <w:r>
        <w:t xml:space="preserve">) is interpreted narrowly as a foreign-technology and standards capability measure,</w:t>
      </w:r>
      <w:r>
        <w:t xml:space="preserve"> </w:t>
      </w:r>
      <w:r>
        <w:t xml:space="preserve">international quality certification and foreign-licensed technology, that proxies a firm’s exposure to external technological standards rather than the full Cohen-Levinthal absorptive-capacity</w:t>
      </w:r>
      <w:r>
        <w:t xml:space="preserve"> </w:t>
      </w:r>
      <w:r>
        <w:t xml:space="preserve">stock (Lall, 1992; Cohen and Levinthal, 1990). The Digital Adoption Index (</w:t>
      </w:r>
      <m:oMath>
        <m:sSub>
          <m:e>
            <m:r>
              <m:rPr>
                <m:nor/>
                <m:sty m:val="p"/>
              </m:rPr>
              <m:t>DAI</m:t>
            </m:r>
          </m:e>
          <m:sub>
            <m:r>
              <m:t>z</m:t>
            </m:r>
          </m:sub>
        </m:sSub>
      </m:oMath>
      <w:r>
        <w:t xml:space="preserve">) is interpreted narrowly as website-based digital presence, foundational website adoption,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w:t>
      </w:r>
      <m:oMath>
        <m:sSub>
          <m:e>
            <m:r>
              <m:rPr>
                <m:nor/>
                <m:sty m:val="p"/>
              </m:rPr>
              <m:t>FSTS</m:t>
            </m:r>
          </m:e>
          <m:sub>
            <m:r>
              <m:t>c</m:t>
            </m:r>
          </m:sub>
        </m:sSub>
      </m:oMath>
      <w:r>
        <w:t xml:space="preserve">) and squared (</w:t>
      </w:r>
      <m:oMath>
        <m:sSubSup>
          <m:e>
            <m:r>
              <m:rPr>
                <m:nor/>
                <m:sty m:val="p"/>
              </m:rPr>
              <m:t>FSTS</m:t>
            </m:r>
          </m:e>
          <m:sub>
            <m:r>
              <m:t>c</m:t>
            </m:r>
          </m:sub>
          <m:sup>
            <m:r>
              <m:t>2</m:t>
            </m:r>
          </m:sup>
        </m:sSubSup>
      </m:oMath>
      <w:r>
        <w:t xml:space="preserve">). The primary Technological Capability Index (</w:t>
      </w:r>
      <m:oMath>
        <m:sSub>
          <m:e>
            <m:r>
              <m:rPr>
                <m:nor/>
                <m:sty m:val="p"/>
              </m:rPr>
              <m:t>TCI</m:t>
            </m:r>
          </m:e>
          <m:sub>
            <m:r>
              <m:t>z</m:t>
            </m:r>
          </m:sub>
        </m:sSub>
      </m:oMath>
      <w:r>
        <w:t xml:space="preserve">)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w:t>
      </w:r>
      <m:oMath>
        <m:sSub>
          <m:e>
            <m:r>
              <m:rPr>
                <m:nor/>
                <m:sty m:val="p"/>
              </m:rPr>
              <m:t>DAI</m:t>
            </m:r>
          </m:e>
          <m:sub>
            <m:r>
              <m:t>z</m:t>
            </m:r>
          </m:sub>
        </m:sSub>
      </m:oMath>
      <w:r>
        <w:t xml:space="preserve">) is the within-wave standardised website-presence indicator c22b, recoded from 1/2 to 1/0. Under this revised primary specification, no item is shared between the TCI and DAI composites, e6 belongs exclusively to the</w:t>
      </w:r>
      <w:r>
        <w:t xml:space="preserve"> </w:t>
      </w:r>
      <w:r>
        <w:t xml:space="preserve">capability construct, while c22b alone is a harmonised cross-wave proxy for basic digital</w:t>
      </w:r>
      <w:r>
        <w:t xml:space="preserve"> </w:t>
      </w:r>
      <w:r>
        <w:t xml:space="preserve">presence. Cross-wave-comparable transaction-level digital items are absent from the 2009 and</w:t>
      </w:r>
      <w:r>
        <w:t xml:space="preserve"> </w:t>
      </w:r>
      <w:r>
        <w:t xml:space="preserve">2015 instruments, so</w:t>
      </w:r>
      <w:r>
        <w:t xml:space="preserve"> </w:t>
      </w:r>
      <m:oMath>
        <m:sSub>
          <m:e>
            <m:r>
              <m:rPr>
                <m:nor/>
                <m:sty m:val="p"/>
              </m:rPr>
              <m:t>DAI</m:t>
            </m:r>
          </m:e>
          <m:sub>
            <m:r>
              <m:t>z</m:t>
            </m:r>
          </m:sub>
        </m:sSub>
      </m:oMath>
      <w:r>
        <w:t xml:space="preserve"> </w:t>
      </w:r>
      <w:r>
        <w:t xml:space="preserve">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m:oMath>
        <m:sSub>
          <m:e>
            <m:r>
              <m:rPr>
                <m:nor/>
                <m:sty m:val="p"/>
              </m:rPr>
              <m:t>TCI</m:t>
            </m:r>
          </m:e>
          <m:sub>
            <m:r>
              <m:t>f</m:t>
            </m:r>
          </m:sub>
        </m:sSub>
      </m:oMath>
      <w:r>
        <w:t xml:space="preserve">ull adds h1 (introduced new or significantly improved product) and h8 (R&amp;D expenditure</w:t>
      </w:r>
      <w:r>
        <w:t xml:space="preserve"> </w:t>
      </w:r>
      <w:r>
        <w:t xml:space="preserve">indicator) to the TCI items in 2015 and 2023, where h1 and h8 are present.</w:t>
      </w:r>
      <w:r>
        <w:t xml:space="preserve"> </w:t>
      </w:r>
      <m:oMath>
        <m:sSub>
          <m:e>
            <m:r>
              <m:rPr>
                <m:nor/>
                <m:sty m:val="p"/>
              </m:rPr>
              <m:t>DAI</m:t>
            </m:r>
          </m:e>
          <m:sub>
            <m:r>
              <m:t>r</m:t>
            </m:r>
          </m:sub>
        </m:sSub>
      </m:oMath>
      <w:r>
        <w:t xml:space="preserve">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w:t>
      </w:r>
      <w:r>
        <w:t xml:space="preserve"> </w:t>
      </w:r>
      <m:oMath>
        <m:sSub>
          <m:e>
            <m:r>
              <m:rPr>
                <m:nor/>
                <m:sty m:val="p"/>
              </m:rPr>
              <m:t>DAI</m:t>
            </m:r>
          </m:e>
          <m:sub>
            <m:r>
              <m:t>r</m:t>
            </m:r>
          </m:sub>
        </m:sSub>
      </m:oMath>
      <w:r>
        <w:t xml:space="preserve">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w:t>
      </w:r>
      <w:r>
        <w:t xml:space="preserve"> </w:t>
      </w:r>
      <m:oMath>
        <m:sSub>
          <m:e>
            <m:r>
              <m:rPr>
                <m:nor/>
                <m:sty m:val="p"/>
              </m:rPr>
              <m:t>DAI</m:t>
            </m:r>
          </m:e>
          <m:sub>
            <m:r>
              <m:t>z</m:t>
            </m:r>
          </m:sub>
        </m:sSub>
      </m:oMath>
      <w:r>
        <w:t xml:space="preserve"> </w:t>
      </w:r>
      <w:r>
        <w:t xml:space="preserve">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w:t>
      </w:r>
      <m:oMath>
        <m:sSub>
          <m:e>
            <m:r>
              <m:rPr>
                <m:nor/>
                <m:sty m:val="p"/>
              </m:rPr>
              <m:t>FSTS</m:t>
            </m:r>
          </m:e>
          <m:sub>
            <m:r>
              <m:t>c</m:t>
            </m:r>
          </m:sub>
        </m:sSub>
        <m:r>
          <m:rPr>
            <m:sty m:val="p"/>
          </m:rPr>
          <m:t>×</m:t>
        </m:r>
        <m:sSub>
          <m:e>
            <m:r>
              <m:rPr>
                <m:nor/>
                <m:sty m:val="p"/>
              </m:rPr>
              <m:t>DAI</m:t>
            </m:r>
          </m:e>
          <m:sub>
            <m:r>
              <m:t>z</m:t>
            </m:r>
          </m:sub>
        </m:sSub>
      </m:oMath>
      <w:r>
        <w:t xml:space="preserve"> </w:t>
      </w:r>
      <w:r>
        <w:t xml:space="preserve">= −0.912, p =.043) is best read as construct-tier obsolescence: Tier-1 website presence has become a minimum-threshold credential in Vietnam’s maturing digital environment and no longer differentiates firms’ cross-border coordination capacity at high export intensity. The</w:t>
      </w:r>
      <w:r>
        <w:t xml:space="preserve"> </w:t>
      </w:r>
      <m:oMath>
        <m:sSub>
          <m:e>
            <m:r>
              <m:rPr>
                <m:nor/>
                <m:sty m:val="p"/>
              </m:rPr>
              <m:t>DAI</m:t>
            </m:r>
          </m:e>
          <m:sub>
            <m:r>
              <m:t>r</m:t>
            </m:r>
          </m:sub>
        </m:sSub>
      </m:oMath>
      <w:r>
        <w:t xml:space="preserve">ich robustness composite available in the 2023 wave (Tier 1+2, Section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w:t>
      </w:r>
      <w:r>
        <w:t xml:space="preserve"> </w:t>
      </w:r>
      <m:oMath>
        <m:sSub>
          <m:e>
            <m:r>
              <m:rPr>
                <m:nor/>
                <m:sty m:val="p"/>
              </m:rPr>
              <m:t>DAI</m:t>
            </m:r>
          </m:e>
          <m:sub>
            <m:r>
              <m:t>z</m:t>
            </m:r>
          </m:sub>
        </m:sSub>
      </m:oMath>
      <w:r>
        <w:t xml:space="preserve"> </w:t>
      </w:r>
      <w:r>
        <w:t xml:space="preserve">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using a richer composite for 2023 only, would introduce a wave-specific construct-shift that could be mistaken for a structural change in the I–P relationship. The</w:t>
      </w:r>
      <w:r>
        <w:t xml:space="preserve"> </w:t>
      </w:r>
      <m:oMath>
        <m:sSub>
          <m:e>
            <m:r>
              <m:rPr>
                <m:nor/>
                <m:sty m:val="p"/>
              </m:rPr>
              <m:t>DAI</m:t>
            </m:r>
          </m:e>
          <m:sub>
            <m:r>
              <m:t>r</m:t>
            </m:r>
          </m:sub>
        </m:sSub>
      </m:oMath>
      <w:r>
        <w:t xml:space="preserve">ich robustness extension (Section 4.5 Panel B) applies the 2023-wave Tier-2 items precisely as a within-wave sensitivity probe to assess whether the primary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to 0). c22b is recoded similarly (1 = has website; 2 to 0).</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are standardised within each wave independently so that coefficients are comparable in magnitude across waves. Turning-point formula: TP* = −</w:t>
      </w:r>
      <m:oMath>
        <m:sSub>
          <m:e>
            <m:r>
              <m:t>β</m:t>
            </m:r>
          </m:e>
          <m:sub>
            <m:r>
              <m:t>1</m:t>
            </m:r>
          </m:sub>
        </m:sSub>
      </m:oMath>
      <w:r>
        <w:t xml:space="preserve"> </w:t>
      </w:r>
      <w:r>
        <w:t xml:space="preserve">/ (2</w:t>
      </w:r>
      <m:oMath>
        <m:sSub>
          <m:e>
            <m:r>
              <m:t>β</m:t>
            </m:r>
          </m:e>
          <m:sub>
            <m:r>
              <m:t>2</m:t>
            </m:r>
          </m:sub>
        </m:sSub>
      </m:oMath>
      <w:r>
        <w:t xml:space="preserve">); the Lind–Mehlum (2010) utest formally confirms inverted-U shape by rejecting monotonicity at p &lt;.05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This study treats -9 as missing before any composite is built and apply listwise deletion</w:t>
      </w:r>
      <w:r>
        <w:t xml:space="preserve"> </w:t>
      </w:r>
      <w:r>
        <w:t xml:space="preserve">on the focal variable set (lnLP, lnEmp, FirmAge, ForeignOwned, FSTS,</w:t>
      </w:r>
      <w:r>
        <w:t xml:space="preserve"> </w:t>
      </w:r>
      <m:oMath>
        <m:sSub>
          <m:e>
            <m:r>
              <m:rPr>
                <m:nor/>
                <m:sty m:val="p"/>
              </m:rPr>
              <m:t>TCI</m:t>
            </m:r>
          </m:e>
          <m:sub>
            <m:r>
              <m:t>z</m:t>
            </m:r>
          </m:sub>
        </m:sSub>
      </m:oMath>
      <w:r>
        <w:t xml:space="preserve">,</w:t>
      </w:r>
      <w:r>
        <w:t xml:space="preserve"> </w:t>
      </w:r>
      <m:oMath>
        <m:sSub>
          <m:e>
            <m:r>
              <m:rPr>
                <m:nor/>
                <m:sty m:val="p"/>
              </m:rPr>
              <m:t>DAI</m:t>
            </m:r>
          </m:e>
          <m:sub>
            <m:r>
              <m:t>z</m:t>
            </m:r>
          </m:sub>
        </m:sSub>
      </m:oMath>
      <w:r>
        <w:t xml:space="preserve">,</w:t>
      </w:r>
      <w:r>
        <w:t xml:space="preserve"> </w:t>
      </w:r>
      <w:r>
        <w:t xml:space="preserve">sector1). The resulting analytic samples are 989, 956, and 1,013 observations for 2009, 2015,</w:t>
      </w:r>
      <w:r>
        <w:t xml:space="preserve"> </w:t>
      </w:r>
      <w:r>
        <w:t xml:space="preserve">and 2023 respectively; pooled N is 2,958.</w:t>
      </w:r>
    </w:p>
    <w:bookmarkEnd w:id="38"/>
    <w:bookmarkStart w:id="39" w:name="model-sequence"/>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w:t>
      </w:r>
      <w:r>
        <w:t xml:space="preserve"> </w:t>
      </w:r>
      <m:oMath>
        <m:sSub>
          <m:e>
            <m:r>
              <m:rPr>
                <m:nor/>
                <m:sty m:val="p"/>
              </m:rPr>
              <m:t>FSTS</m:t>
            </m:r>
          </m:e>
          <m:sub>
            <m:r>
              <m:t>c</m:t>
            </m:r>
          </m:sub>
        </m:sSub>
      </m:oMath>
      <w:r>
        <w:t xml:space="preserve">. A nonlinear model adds the quadratic term</w:t>
      </w:r>
      <w:r>
        <w:t xml:space="preserve"> </w:t>
      </w:r>
      <m:oMath>
        <m:sSubSup>
          <m:e>
            <m:r>
              <m:rPr>
                <m:nor/>
                <m:sty m:val="p"/>
              </m:rPr>
              <m:t>FSTS</m:t>
            </m:r>
          </m:e>
          <m:sub>
            <m:r>
              <m:t>c</m:t>
            </m:r>
          </m:sub>
          <m:sup>
            <m:r>
              <m:t>2</m:t>
            </m:r>
          </m:sup>
        </m:sSubSup>
      </m:oMath>
      <w:r>
        <w:t xml:space="preserve"> </w:t>
      </w:r>
      <w:r>
        <w:t xml:space="preserve">to test for curvature. Additional models introduce</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separately, first in specifications that allow interaction terms with</w:t>
      </w:r>
      <w:r>
        <w:t xml:space="preserve"> </w:t>
      </w:r>
      <m:oMath>
        <m:sSub>
          <m:e>
            <m:r>
              <m:rPr>
                <m:nor/>
                <m:sty m:val="p"/>
              </m:rPr>
              <m:t>FSTS</m:t>
            </m:r>
          </m:e>
          <m:sub>
            <m:r>
              <m:t>c</m:t>
            </m:r>
          </m:sub>
        </m:sSub>
      </m:oMath>
      <w:r>
        <w:t xml:space="preserve"> </w:t>
      </w:r>
      <w:r>
        <w:t xml:space="preserve">and</w:t>
      </w:r>
      <w:r>
        <w:t xml:space="preserve"> </w:t>
      </w:r>
      <m:oMath>
        <m:sSubSup>
          <m:e>
            <m:r>
              <m:rPr>
                <m:nor/>
                <m:sty m:val="p"/>
              </m:rPr>
              <m:t>FSTS</m:t>
            </m:r>
          </m:e>
          <m:sub>
            <m:r>
              <m:t>c</m:t>
            </m:r>
          </m:sub>
          <m:sup>
            <m:r>
              <m:t>2</m:t>
            </m:r>
          </m:sup>
        </m:sSubSup>
      </m:oMath>
      <w:r>
        <w:t xml:space="preserve">,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w:t>
      </w:r>
      <w:r>
        <w:t xml:space="preserve"> </w:t>
      </w:r>
      <m:oMath>
        <m:sSub>
          <m:e>
            <m:r>
              <m:rPr>
                <m:nor/>
                <m:sty m:val="p"/>
              </m:rPr>
              <m:t>FSTS</m:t>
            </m:r>
          </m:e>
          <m:sub>
            <m:r>
              <m:t>c</m:t>
            </m:r>
          </m:sub>
        </m:sSub>
      </m:oMath>
      <w:r>
        <w:t xml:space="preserve">_it the within-wave mean-centred export intensity, and</w:t>
      </w:r>
      <w:r>
        <w:t xml:space="preserve"> </w:t>
      </w:r>
      <w:r>
        <w:rPr>
          <w:bCs/>
          <w:b/>
        </w:rPr>
        <w:t xml:space="preserve">X</w:t>
      </w:r>
      <w:r>
        <w:t xml:space="preserve">_it the vector of controls (lnEmp, FirmAge, ForeignOwned); δ_s denotes sector fixed effects and</w:t>
      </w:r>
      <w:r>
        <w:t xml:space="preserve"> </w:t>
      </w:r>
      <m:oMath>
        <m:r>
          <m:t>λ</m:t>
        </m:r>
      </m:oMath>
      <w:r>
        <w:t xml:space="preserve">_t wave fixed effects (pooled specifications only):</w:t>
      </w:r>
    </w:p>
    <w:p>
      <w:pPr>
        <w:pStyle w:val="BodyText"/>
      </w:pPr>
      <w:r>
        <w:rPr>
          <w:bCs/>
          <w:b/>
        </w:rPr>
        <w:t xml:space="preserve">M0, Baseline controls:</w:t>
      </w:r>
      <w:r>
        <w:t xml:space="preserve"> </w:t>
      </w:r>
      <w:r>
        <w:t xml:space="preserve">lnLP_it =</w:t>
      </w:r>
      <w:r>
        <w:t xml:space="preserve"> </w:t>
      </w:r>
      <m:oMath>
        <m:r>
          <m:t>α</m:t>
        </m:r>
      </m:oMath>
      <w:r>
        <w:t xml:space="preserve"> </w:t>
      </w:r>
      <w:r>
        <w:t xml:space="preserve">+</w:t>
      </w:r>
      <w:r>
        <w:t xml:space="preserve"> </w:t>
      </w:r>
      <m:oMath>
        <m:r>
          <m:t>γ</m:t>
        </m:r>
      </m:oMath>
      <w:r>
        <w:t xml:space="preserve">₁ lnEmp_it +</w:t>
      </w:r>
      <w:r>
        <w:t xml:space="preserve"> </w:t>
      </w:r>
      <m:oMath>
        <m:r>
          <m:t>γ</m:t>
        </m:r>
      </m:oMath>
      <w:r>
        <w:t xml:space="preserve">₂ FirmAge_it +</w:t>
      </w:r>
      <w:r>
        <w:t xml:space="preserve"> </w:t>
      </w:r>
      <m:oMath>
        <m:r>
          <m:t>γ</m:t>
        </m:r>
      </m:oMath>
      <w:r>
        <w:t xml:space="preserve">₃ ForeignOwned_it + δ_s + [</w:t>
      </w:r>
      <m:oMath>
        <m:r>
          <m:t>λ</m:t>
        </m:r>
      </m:oMath>
      <w:r>
        <w:t xml:space="preserve">_t] +</w:t>
      </w:r>
      <w:r>
        <w:t xml:space="preserve"> </w:t>
      </w:r>
      <m:oMath>
        <m:r>
          <m:t>ϵ</m:t>
        </m:r>
      </m:oMath>
      <w:r>
        <w:t xml:space="preserve">_it</w:t>
      </w:r>
    </w:p>
    <w:p>
      <w:pPr>
        <w:pStyle w:val="BodyText"/>
      </w:pPr>
      <w:r>
        <w:rPr>
          <w:bCs/>
          <w:b/>
        </w:rPr>
        <w:t xml:space="preserve">M1, Linear internationalisation:</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_it +</w:t>
      </w:r>
      <w:r>
        <w:t xml:space="preserve"> </w:t>
      </w:r>
      <m:oMath>
        <m:r>
          <m:t>γ</m:t>
        </m:r>
      </m:oMath>
      <w:r>
        <w:t xml:space="preserve">·</w:t>
      </w:r>
      <w:r>
        <w:rPr>
          <w:bCs/>
          <w:b/>
        </w:rPr>
        <w:t xml:space="preserve">X</w:t>
      </w:r>
      <w:r>
        <w:t xml:space="preserve">_it + δ_s + [</w:t>
      </w:r>
      <m:oMath>
        <m:r>
          <m:t>λ</m:t>
        </m:r>
      </m:oMath>
      <w:r>
        <w:t xml:space="preserve">_t] +</w:t>
      </w:r>
      <w:r>
        <w:t xml:space="preserve"> </w:t>
      </w:r>
      <m:oMath>
        <m:r>
          <m:t>ϵ</m:t>
        </m:r>
      </m:oMath>
      <w:r>
        <w:t xml:space="preserve">_it</w:t>
      </w:r>
    </w:p>
    <w:p>
      <w:pPr>
        <w:pStyle w:val="BodyText"/>
      </w:pPr>
      <w:r>
        <w:rPr>
          <w:bCs/>
          <w:b/>
        </w:rPr>
        <w:t xml:space="preserve">M2, Quadratic internationalisation (tests H1 inverted-U):</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_it +</w:t>
      </w:r>
      <w:r>
        <w:t xml:space="preserve"> </w:t>
      </w:r>
      <m:oMath>
        <m:sSub>
          <m:e>
            <m:r>
              <m:t>β</m:t>
            </m:r>
          </m:e>
          <m:sub>
            <m:r>
              <m:t>2</m:t>
            </m:r>
          </m:sub>
        </m:sSub>
      </m:oMath>
      <w:r>
        <w:t xml:space="preserve"> </w:t>
      </w:r>
      <m:oMath>
        <m:sSubSup>
          <m:e>
            <m:r>
              <m:rPr>
                <m:nor/>
                <m:sty m:val="p"/>
              </m:rPr>
              <m:t>FSTS</m:t>
            </m:r>
          </m:e>
          <m:sub>
            <m:r>
              <m:t>c</m:t>
            </m:r>
          </m:sub>
          <m:sup>
            <m:r>
              <m:t>2</m:t>
            </m:r>
          </m:sup>
        </m:sSubSup>
      </m:oMath>
      <w:r>
        <w:t xml:space="preserve">_it +</w:t>
      </w:r>
      <w:r>
        <w:t xml:space="preserve"> </w:t>
      </w:r>
      <m:oMath>
        <m:r>
          <m:t>γ</m:t>
        </m:r>
      </m:oMath>
      <w:r>
        <w:t xml:space="preserve">·</w:t>
      </w:r>
      <w:r>
        <w:rPr>
          <w:bCs/>
          <w:b/>
        </w:rPr>
        <w:t xml:space="preserve">X</w:t>
      </w:r>
      <w:r>
        <w:t xml:space="preserve">_it + δ_s + [</w:t>
      </w:r>
      <m:oMath>
        <m:r>
          <m:t>λ</m:t>
        </m:r>
      </m:oMath>
      <w:r>
        <w:t xml:space="preserve">_t] +</w:t>
      </w:r>
      <w:r>
        <w:t xml:space="preserve"> </w:t>
      </w:r>
      <m:oMath>
        <m:r>
          <m:t>ϵ</m:t>
        </m:r>
      </m:oMath>
      <w:r>
        <w:t xml:space="preserve">_it</w:t>
      </w:r>
    </w:p>
    <w:p>
      <w:pPr>
        <w:pStyle w:val="BodyText"/>
      </w:pPr>
      <w:r>
        <w:t xml:space="preserve">H1 requires</w:t>
      </w:r>
      <w:r>
        <w:t xml:space="preserve"> </w:t>
      </w:r>
      <m:oMath>
        <m:sSub>
          <m:e>
            <m:r>
              <m:t>β</m:t>
            </m:r>
          </m:e>
          <m:sub>
            <m:r>
              <m:t>1</m:t>
            </m:r>
          </m:sub>
        </m:sSub>
      </m:oMath>
      <w:r>
        <w:t xml:space="preserve"> </w:t>
      </w:r>
      <w:r>
        <w:t xml:space="preserve">&gt; 0 and</w:t>
      </w:r>
      <w:r>
        <w:t xml:space="preserve"> </w:t>
      </w:r>
      <m:oMath>
        <m:sSub>
          <m:e>
            <m:r>
              <m:t>β</m:t>
            </m:r>
          </m:e>
          <m:sub>
            <m:r>
              <m:t>2</m:t>
            </m:r>
          </m:sub>
        </m:sSub>
      </m:oMath>
      <w:r>
        <w:t xml:space="preserve"> </w:t>
      </w:r>
      <w:r>
        <w:t xml:space="preserve">&lt; 0; the implied turning point is TP* = −</w:t>
      </w:r>
      <m:oMath>
        <m:sSub>
          <m:e>
            <m:r>
              <m:t>β</m:t>
            </m:r>
          </m:e>
          <m:sub>
            <m:r>
              <m:t>1</m:t>
            </m:r>
          </m:sub>
        </m:sSub>
      </m:oMath>
      <w:r>
        <w:t xml:space="preserve"> </w:t>
      </w:r>
      <w:r>
        <w:t xml:space="preserve">/ (2</w:t>
      </w:r>
      <m:oMath>
        <m:sSub>
          <m:e>
            <m:r>
              <m:t>β</m:t>
            </m:r>
          </m:e>
          <m:sub>
            <m:r>
              <m:t>2</m:t>
            </m:r>
          </m:sub>
        </m:sSub>
      </m:oMath>
      <w:r>
        <w:t xml:space="preserve">), confirmed by the Lind–Mehlum (2010) utest.</w:t>
      </w:r>
    </w:p>
    <w:p>
      <w:pPr>
        <w:pStyle w:val="BodyText"/>
      </w:pPr>
      <w:r>
        <w:rPr>
          <w:bCs/>
          <w:b/>
        </w:rPr>
        <w:t xml:space="preserve">M3, TCI moderation (tests H2):</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TCI</m:t>
            </m:r>
          </m:e>
          <m:sub>
            <m:r>
              <m:t>z</m:t>
            </m:r>
          </m:sub>
        </m:sSub>
      </m:oMath>
      <w:r>
        <w:t xml:space="preserve"> </w:t>
      </w:r>
      <w:r>
        <w:t xml:space="preserve">+</w:t>
      </w:r>
      <w:r>
        <w:t xml:space="preserve"> </w:t>
      </w:r>
      <m:oMath>
        <m:sSub>
          <m:e>
            <m:r>
              <m:t>β</m:t>
            </m:r>
          </m:e>
          <m:sub>
            <m:r>
              <m:t>4</m:t>
            </m:r>
          </m:sub>
        </m:sSub>
      </m:oMath>
      <w:r>
        <w:t xml:space="preserve">(</w:t>
      </w:r>
      <m:oMath>
        <m:sSub>
          <m:e>
            <m:r>
              <m:rPr>
                <m:nor/>
                <m:sty m:val="p"/>
              </m:rPr>
              <m:t>FSTS</m:t>
            </m:r>
          </m:e>
          <m:sub>
            <m:r>
              <m:t>c</m:t>
            </m:r>
          </m:sub>
        </m:sSub>
        <m:r>
          <m:rPr>
            <m:sty m:val="p"/>
          </m:rPr>
          <m:t>×</m:t>
        </m:r>
        <m:sSub>
          <m:e>
            <m:r>
              <m:rPr>
                <m:nor/>
                <m:sty m:val="p"/>
              </m:rPr>
              <m:t>TCI</m:t>
            </m:r>
          </m:e>
          <m:sub>
            <m:r>
              <m:t>z</m:t>
            </m:r>
          </m:sub>
        </m:sSub>
      </m:oMath>
      <w:r>
        <w:t xml:space="preserve">) +</w:t>
      </w:r>
      <w:r>
        <w:t xml:space="preserve"> </w:t>
      </w:r>
      <m:oMath>
        <m:sSub>
          <m:e>
            <m:r>
              <m:t>β</m:t>
            </m:r>
          </m:e>
          <m:sub>
            <m:r>
              <m:t>5</m:t>
            </m:r>
          </m:sub>
        </m:sSub>
      </m:oMath>
      <w:r>
        <w:t xml:space="preserve">(</w:t>
      </w:r>
      <m:oMath>
        <m:sSubSup>
          <m:e>
            <m:r>
              <m:rPr>
                <m:nor/>
                <m:sty m:val="p"/>
              </m:rPr>
              <m:t>FSTS</m:t>
            </m:r>
          </m:e>
          <m:sub>
            <m:r>
              <m:t>c</m:t>
            </m:r>
          </m:sub>
          <m:sup>
            <m:r>
              <m:t>2</m:t>
            </m:r>
          </m:sup>
        </m:sSubSup>
        <m:r>
          <m:rPr>
            <m:sty m:val="p"/>
          </m:rPr>
          <m:t>×</m:t>
        </m:r>
        <m:sSub>
          <m:e>
            <m:r>
              <m:rPr>
                <m:nor/>
                <m:sty m:val="p"/>
              </m:rPr>
              <m:t>TCI</m:t>
            </m:r>
          </m:e>
          <m:sub>
            <m:r>
              <m:t>z</m:t>
            </m:r>
          </m:sub>
        </m:sSub>
      </m:oMath>
      <w:r>
        <w:t xml:space="preserve">) +</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M4, DAI moderation (exploratory H4):</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DAI</m:t>
            </m:r>
          </m:e>
          <m:sub>
            <m:r>
              <m:t>z</m:t>
            </m:r>
          </m:sub>
        </m:sSub>
      </m:oMath>
      <w:r>
        <w:t xml:space="preserve"> </w:t>
      </w:r>
      <w:r>
        <w:t xml:space="preserve">+</w:t>
      </w:r>
      <w:r>
        <w:t xml:space="preserve"> </w:t>
      </w:r>
      <m:oMath>
        <m:sSub>
          <m:e>
            <m:r>
              <m:t>β</m:t>
            </m:r>
          </m:e>
          <m:sub>
            <m:r>
              <m:t>4</m:t>
            </m:r>
          </m:sub>
        </m:sSub>
      </m:oMath>
      <w:r>
        <w:t xml:space="preserve">(</w:t>
      </w:r>
      <m:oMath>
        <m:sSub>
          <m:e>
            <m:r>
              <m:rPr>
                <m:nor/>
                <m:sty m:val="p"/>
              </m:rPr>
              <m:t>FSTS</m:t>
            </m:r>
          </m:e>
          <m:sub>
            <m:r>
              <m:t>c</m:t>
            </m:r>
          </m:sub>
        </m:sSub>
        <m:r>
          <m:rPr>
            <m:sty m:val="p"/>
          </m:rPr>
          <m:t>×</m:t>
        </m:r>
        <m:sSub>
          <m:e>
            <m:r>
              <m:rPr>
                <m:nor/>
                <m:sty m:val="p"/>
              </m:rPr>
              <m:t>DAI</m:t>
            </m:r>
          </m:e>
          <m:sub>
            <m:r>
              <m:t>z</m:t>
            </m:r>
          </m:sub>
        </m:sSub>
      </m:oMath>
      <w:r>
        <w:t xml:space="preserve">) +</w:t>
      </w:r>
      <w:r>
        <w:t xml:space="preserve"> </w:t>
      </w:r>
      <m:oMath>
        <m:sSub>
          <m:e>
            <m:r>
              <m:t>β</m:t>
            </m:r>
          </m:e>
          <m:sub>
            <m:r>
              <m:t>5</m:t>
            </m:r>
          </m:sub>
        </m:sSub>
      </m:oMath>
      <w:r>
        <w:t xml:space="preserve">(</w:t>
      </w:r>
      <m:oMath>
        <m:sSubSup>
          <m:e>
            <m:r>
              <m:rPr>
                <m:nor/>
                <m:sty m:val="p"/>
              </m:rPr>
              <m:t>FSTS</m:t>
            </m:r>
          </m:e>
          <m:sub>
            <m:r>
              <m:t>c</m:t>
            </m:r>
          </m:sub>
          <m:sup>
            <m:r>
              <m:t>2</m:t>
            </m:r>
          </m:sup>
        </m:sSubSup>
        <m:r>
          <m:rPr>
            <m:sty m:val="p"/>
          </m:rPr>
          <m:t>×</m:t>
        </m:r>
        <m:sSub>
          <m:e>
            <m:r>
              <m:rPr>
                <m:nor/>
                <m:sty m:val="p"/>
              </m:rPr>
              <m:t>DAI</m:t>
            </m:r>
          </m:e>
          <m:sub>
            <m:r>
              <m:t>z</m:t>
            </m:r>
          </m:sub>
        </m:sSub>
      </m:oMath>
      <w:r>
        <w:t xml:space="preserve">) +</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M5, TCI direct only:</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TCI</m:t>
            </m:r>
          </m:e>
          <m:sub>
            <m:r>
              <m:t>z</m:t>
            </m:r>
          </m:sub>
        </m:sSub>
      </m:oMath>
      <w:r>
        <w:t xml:space="preserve"> </w:t>
      </w:r>
      <w:r>
        <w:t xml:space="preserve">+</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M6, DAI direct only:</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DAI</m:t>
            </m:r>
          </m:e>
          <m:sub>
            <m:r>
              <m:t>z</m:t>
            </m:r>
          </m:sub>
        </m:sSub>
      </m:oMath>
      <w:r>
        <w:t xml:space="preserve"> </w:t>
      </w:r>
      <w:r>
        <w:t xml:space="preserve">+</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M7, Dual-direct, no interactions:</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TCI</m:t>
            </m:r>
          </m:e>
          <m:sub>
            <m:r>
              <m:t>z</m:t>
            </m:r>
          </m:sub>
        </m:sSub>
      </m:oMath>
      <w:r>
        <w:t xml:space="preserve"> </w:t>
      </w:r>
      <w:r>
        <w:t xml:space="preserve">+</w:t>
      </w:r>
      <w:r>
        <w:t xml:space="preserve"> </w:t>
      </w:r>
      <m:oMath>
        <m:sSub>
          <m:e>
            <m:r>
              <m:t>β</m:t>
            </m:r>
          </m:e>
          <m:sub>
            <m:r>
              <m:t>4</m:t>
            </m:r>
          </m:sub>
        </m:sSub>
      </m:oMath>
      <w:r>
        <w:t xml:space="preserve"> </w:t>
      </w:r>
      <m:oMath>
        <m:sSub>
          <m:e>
            <m:r>
              <m:rPr>
                <m:nor/>
                <m:sty m:val="p"/>
              </m:rPr>
              <m:t>DAI</m:t>
            </m:r>
          </m:e>
          <m:sub>
            <m:r>
              <m:t>z</m:t>
            </m:r>
          </m:sub>
        </m:sSub>
      </m:oMath>
      <w:r>
        <w:t xml:space="preserve"> </w:t>
      </w:r>
      <w:r>
        <w:t xml:space="preserve">+</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M8, Full model (dual-direct + DAI moderation):</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TCI</m:t>
            </m:r>
          </m:e>
          <m:sub>
            <m:r>
              <m:t>z</m:t>
            </m:r>
          </m:sub>
        </m:sSub>
      </m:oMath>
      <w:r>
        <w:t xml:space="preserve"> </w:t>
      </w:r>
      <w:r>
        <w:t xml:space="preserve">+</w:t>
      </w:r>
      <w:r>
        <w:t xml:space="preserve"> </w:t>
      </w:r>
      <m:oMath>
        <m:sSub>
          <m:e>
            <m:r>
              <m:t>β</m:t>
            </m:r>
          </m:e>
          <m:sub>
            <m:r>
              <m:t>4</m:t>
            </m:r>
          </m:sub>
        </m:sSub>
      </m:oMath>
      <w:r>
        <w:t xml:space="preserve"> </w:t>
      </w:r>
      <m:oMath>
        <m:sSub>
          <m:e>
            <m:r>
              <m:rPr>
                <m:nor/>
                <m:sty m:val="p"/>
              </m:rPr>
              <m:t>DAI</m:t>
            </m:r>
          </m:e>
          <m:sub>
            <m:r>
              <m:t>z</m:t>
            </m:r>
          </m:sub>
        </m:sSub>
      </m:oMath>
      <w:r>
        <w:t xml:space="preserve"> </w:t>
      </w:r>
      <w:r>
        <w:t xml:space="preserve">+</w:t>
      </w:r>
      <w:r>
        <w:t xml:space="preserve"> </w:t>
      </w:r>
      <m:oMath>
        <m:sSub>
          <m:e>
            <m:r>
              <m:t>β</m:t>
            </m:r>
          </m:e>
          <m:sub>
            <m:r>
              <m:t>5</m:t>
            </m:r>
          </m:sub>
        </m:sSub>
      </m:oMath>
      <w:r>
        <w:t xml:space="preserve">(</w:t>
      </w:r>
      <m:oMath>
        <m:sSub>
          <m:e>
            <m:r>
              <m:rPr>
                <m:nor/>
                <m:sty m:val="p"/>
              </m:rPr>
              <m:t>FSTS</m:t>
            </m:r>
          </m:e>
          <m:sub>
            <m:r>
              <m:t>c</m:t>
            </m:r>
          </m:sub>
        </m:sSub>
        <m:r>
          <m:rPr>
            <m:sty m:val="p"/>
          </m:rPr>
          <m:t>×</m:t>
        </m:r>
        <m:sSub>
          <m:e>
            <m:r>
              <m:rPr>
                <m:nor/>
                <m:sty m:val="p"/>
              </m:rPr>
              <m:t>DAI</m:t>
            </m:r>
          </m:e>
          <m:sub>
            <m:r>
              <m:t>z</m:t>
            </m:r>
          </m:sub>
        </m:sSub>
      </m:oMath>
      <w:r>
        <w:t xml:space="preserve">) +</w:t>
      </w:r>
      <w:r>
        <w:t xml:space="preserve"> </w:t>
      </w:r>
      <m:oMath>
        <m:sSub>
          <m:e>
            <m:r>
              <m:t>β</m:t>
            </m:r>
          </m:e>
          <m:sub>
            <m:r>
              <m:t>6</m:t>
            </m:r>
          </m:sub>
        </m:sSub>
      </m:oMath>
      <w:r>
        <w:t xml:space="preserve">(</w:t>
      </w:r>
      <m:oMath>
        <m:sSubSup>
          <m:e>
            <m:r>
              <m:rPr>
                <m:nor/>
                <m:sty m:val="p"/>
              </m:rPr>
              <m:t>FSTS</m:t>
            </m:r>
          </m:e>
          <m:sub>
            <m:r>
              <m:t>c</m:t>
            </m:r>
          </m:sub>
          <m:sup>
            <m:r>
              <m:t>2</m:t>
            </m:r>
          </m:sup>
        </m:sSubSup>
        <m:r>
          <m:rPr>
            <m:sty m:val="p"/>
          </m:rPr>
          <m:t>×</m:t>
        </m:r>
        <m:sSub>
          <m:e>
            <m:r>
              <m:rPr>
                <m:nor/>
                <m:sty m:val="p"/>
              </m:rPr>
              <m:t>DAI</m:t>
            </m:r>
          </m:e>
          <m:sub>
            <m:r>
              <m:t>z</m:t>
            </m:r>
          </m:sub>
        </m:sSub>
      </m:oMath>
      <w:r>
        <w:t xml:space="preserve">) +</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t xml:space="preserve">All models are estimated by OLS with HC1 heteroscedasticity-consistent standard errors. Wave fixed effects (</w:t>
      </w:r>
      <m:oMath>
        <m:r>
          <m:t>λ</m:t>
        </m:r>
      </m:oMath>
      <w:r>
        <w:t xml:space="preserve">_t) are included in pooled specifications only. The M0–M8 sequence is estimated wave-by-wave and jointly on the pooled three-wave file, yielding four sets of estimates (2009, 2015, 2023, pooled).</w:t>
      </w:r>
    </w:p>
    <w:bookmarkEnd w:id="39"/>
    <w:bookmarkStart w:id="40" w:name="identification-and-endogeneity-strategy"/>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productivity, financial resilience, managerial quality,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w:t>
      </w:r>
      <w:r>
        <w:t xml:space="preserve"> </w:t>
      </w:r>
      <m:oMath>
        <m:r>
          <m:rPr>
            <m:sty m:val="p"/>
          </m:rPr>
          <m:t>×</m:t>
        </m:r>
      </m:oMath>
      <w:r>
        <w:t xml:space="preserve"> </w:t>
      </w:r>
      <w:r>
        <w:t xml:space="preserve">region</w:t>
      </w:r>
      <w:r>
        <w:t xml:space="preserve"> </w:t>
      </w:r>
      <m:oMath>
        <m:r>
          <m:rPr>
            <m:sty m:val="p"/>
          </m:rPr>
          <m:t>×</m:t>
        </m:r>
      </m:oMath>
      <w:r>
        <w:t xml:space="preserve"> </w:t>
      </w:r>
      <w:r>
        <w:t xml:space="preserve">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Section 4.5.</w:t>
      </w:r>
    </w:p>
    <w:p>
      <w:pPr>
        <w:pStyle w:val="BodyText"/>
      </w:pPr>
      <w:r>
        <w:rPr>
          <w:iCs/>
          <w:i/>
        </w:rPr>
        <w:t xml:space="preserve">Instrumental-variable estimation.</w:t>
      </w:r>
      <w:r>
        <w:t xml:space="preserve"> </w:t>
      </w:r>
      <w:r>
        <w:t xml:space="preserve">Leave-one-out sector</w:t>
      </w:r>
      <w:r>
        <w:t xml:space="preserve"> </w:t>
      </w:r>
      <m:oMath>
        <m:r>
          <m:rPr>
            <m:sty m:val="p"/>
          </m:rPr>
          <m:t>×</m:t>
        </m:r>
      </m:oMath>
      <w:r>
        <w:t xml:space="preserve"> </w:t>
      </w:r>
      <w:r>
        <w:t xml:space="preserve">region</w:t>
      </w:r>
      <w:r>
        <w:t xml:space="preserve"> </w:t>
      </w:r>
      <m:oMath>
        <m:r>
          <m:rPr>
            <m:sty m:val="p"/>
          </m:rPr>
          <m:t>×</m:t>
        </m:r>
      </m:oMath>
      <w:r>
        <w:t xml:space="preserve"> </w:t>
      </w:r>
      <w:r>
        <w:t xml:space="preserve">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w:t>
      </w:r>
      <w:r>
        <w:t xml:space="preserve"> </w:t>
      </w:r>
      <m:oMath>
        <m:sSup>
          <m:e>
            <m:r>
              <m:t>R</m:t>
            </m:r>
          </m:e>
          <m:sup>
            <m:r>
              <m:t>2</m:t>
            </m:r>
          </m:sup>
        </m:sSup>
      </m:oMath>
      <w:r>
        <w:t xml:space="preserve">_max = 1.3</w:t>
      </w:r>
      <w:r>
        <w:t xml:space="preserve"> </w:t>
      </w:r>
      <m:oMath>
        <m:r>
          <m:rPr>
            <m:sty m:val="p"/>
          </m:rPr>
          <m:t>×</m:t>
        </m:r>
      </m:oMath>
      <w:r>
        <w:t xml:space="preserve"> </w:t>
      </w:r>
      <m:oMath>
        <m:sSup>
          <m:e>
            <m:r>
              <m:t>R</m:t>
            </m:r>
          </m:e>
          <m:sup>
            <m:r>
              <m:t>2</m:t>
            </m:r>
          </m:sup>
        </m:sSup>
      </m:oMath>
      <w:r>
        <w:t xml:space="preserve">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40"/>
    <w:bookmarkStart w:id="41" w:name="replication-and-reproducibility"/>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this study follows current bestpractice recommendations on data preparation, transparency, and the cumulative interpretation</w:t>
      </w:r>
      <w:r>
        <w:t xml:space="preserve"> </w:t>
      </w:r>
      <w:r>
        <w:t xml:space="preserve">of associational evidence (Aguinis et al., 2021; Shaver, 2020).</w:t>
      </w:r>
    </w:p>
    <w:bookmarkEnd w:id="41"/>
    <w:bookmarkEnd w:id="42"/>
    <w:bookmarkStart w:id="64" w:name="results"/>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3" w:name="wave-specific-findings"/>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w:t>
      </w:r>
      <m:oMath>
        <m:r>
          <m:t>β</m:t>
        </m:r>
      </m:oMath>
      <w:r>
        <w:t xml:space="preserve"> </w:t>
      </w:r>
      <w:r>
        <w:t xml:space="preserve">= 1.045, p =.015) and a negative quadratic term (</w:t>
      </w:r>
      <m:oMath>
        <m:r>
          <m:t>β</m:t>
        </m:r>
      </m:oMath>
      <w:r>
        <w:t xml:space="preserve"> </w:t>
      </w:r>
      <w:r>
        <w:t xml:space="preserve">=</w:t>
      </w:r>
      <w:r>
        <w:t xml:space="preserve"> </w:t>
      </w:r>
      <w:r>
        <w:t xml:space="preserve">-1.774, p =.009); the Lind–Mehlum test rejects monotonicity at p =.006. In the dual-direct</w:t>
      </w:r>
      <w:r>
        <w:t xml:space="preserve"> </w:t>
      </w:r>
      <w:r>
        <w:t xml:space="preserve">specification (M7) both</w:t>
      </w:r>
      <w:r>
        <w:t xml:space="preserve"> </w:t>
      </w:r>
      <m:oMath>
        <m:sSub>
          <m:e>
            <m:r>
              <m:rPr>
                <m:nor/>
                <m:sty m:val="p"/>
              </m:rPr>
              <m:t>TCI</m:t>
            </m:r>
          </m:e>
          <m:sub>
            <m:r>
              <m:t>z</m:t>
            </m:r>
          </m:sub>
        </m:sSub>
      </m:oMath>
      <w:r>
        <w:t xml:space="preserve"> </w:t>
      </w:r>
      <w:r>
        <w:t xml:space="preserve">(</w:t>
      </w:r>
      <m:oMath>
        <m:r>
          <m:t>β</m:t>
        </m:r>
      </m:oMath>
      <w:r>
        <w:t xml:space="preserve"> </w:t>
      </w:r>
      <w:r>
        <w:t xml:space="preserve">= 0.215, p &lt;.001) and</w:t>
      </w:r>
      <w:r>
        <w:t xml:space="preserve"> </w:t>
      </w:r>
      <m:oMath>
        <m:sSub>
          <m:e>
            <m:r>
              <m:rPr>
                <m:nor/>
                <m:sty m:val="p"/>
              </m:rPr>
              <m:t>DAI</m:t>
            </m:r>
          </m:e>
          <m:sub>
            <m:r>
              <m:t>z</m:t>
            </m:r>
          </m:sub>
        </m:sSub>
      </m:oMath>
      <w:r>
        <w:t xml:space="preserve"> </w:t>
      </w:r>
      <w:r>
        <w:t xml:space="preserve">(</w:t>
      </w:r>
      <m:oMath>
        <m:r>
          <m:t>β</m:t>
        </m:r>
      </m:oMath>
      <w:r>
        <w:t xml:space="preserve"> </w:t>
      </w:r>
      <w:r>
        <w:t xml:space="preserve">= 0.175, p &lt;.001) are</w:t>
      </w:r>
      <w:r>
        <w:t xml:space="preserve"> </w:t>
      </w:r>
      <w:r>
        <w:t xml:space="preserve">positive. TCI moderation is statistically distinguishable from zero (M3 joint p =.040;</w:t>
      </w:r>
      <w:r>
        <w:t xml:space="preserve"> </w:t>
      </w:r>
      <m:oMath>
        <m:sSub>
          <m:e>
            <m:r>
              <m:rPr>
                <m:nor/>
                <m:sty m:val="p"/>
              </m:rPr>
              <m:t>FSTS</m:t>
            </m:r>
          </m:e>
          <m:sub>
            <m:r>
              <m:t>c</m:t>
            </m:r>
          </m:sub>
        </m:sSub>
        <m:r>
          <m:rPr>
            <m:sty m:val="p"/>
          </m:rPr>
          <m:t>×</m:t>
        </m:r>
        <m:sSub>
          <m:e>
            <m:r>
              <m:rPr>
                <m:nor/>
                <m:sty m:val="p"/>
              </m:rPr>
              <m:t>TCI</m:t>
            </m:r>
          </m:e>
          <m:sub>
            <m:r>
              <m:t>z</m:t>
            </m:r>
          </m:sub>
        </m:sSub>
      </m:oMath>
      <w:r>
        <w:t xml:space="preserve"> </w:t>
      </w:r>
      <w:r>
        <w:t xml:space="preserve">= -0.579, p =.087), but DAI moderation is not (M4 joint</w:t>
      </w:r>
    </w:p>
    <w:p>
      <w:pPr>
        <w:pStyle w:val="BodyText"/>
      </w:pPr>
      <w:r>
        <w:t xml:space="preserve">Table 2: Analytic-sample summary statistics by wave.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 www.enterprisesurveys.org; authors’ calculations.</w:t>
      </w:r>
    </w:p>
    <w:p>
      <w:pPr>
        <w:pStyle w:val="BodyText"/>
      </w:pPr>
      <w:r>
        <w:t xml:space="preserve">p =.825; full-model M8 joint p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w:t>
      </w:r>
      <w:r>
        <w:t xml:space="preserve"> </w:t>
      </w:r>
      <m:oMath>
        <m:sSub>
          <m:e>
            <m:r>
              <m:rPr>
                <m:nor/>
                <m:sty m:val="p"/>
              </m:rPr>
              <m:t>FSTS</m:t>
            </m:r>
          </m:e>
          <m:sub>
            <m:r>
              <m:t>c</m:t>
            </m:r>
          </m:sub>
        </m:sSub>
      </m:oMath>
      <w:r>
        <w:t xml:space="preserve"> </w:t>
      </w:r>
      <m:oMath>
        <m:r>
          <m:t>β</m:t>
        </m:r>
      </m:oMath>
      <w:r>
        <w:t xml:space="preserve"> </w:t>
      </w:r>
      <w:r>
        <w:t xml:space="preserve">= 1.159 (p =.029) and</w:t>
      </w:r>
      <w:r>
        <w:t xml:space="preserve"> </w:t>
      </w:r>
      <m:oMath>
        <m:sSubSup>
          <m:e>
            <m:r>
              <m:rPr>
                <m:nor/>
                <m:sty m:val="p"/>
              </m:rPr>
              <m:t>FSTS</m:t>
            </m:r>
          </m:e>
          <m:sub>
            <m:r>
              <m:t>c</m:t>
            </m:r>
          </m:sub>
          <m:sup>
            <m:r>
              <m:t>2</m:t>
            </m:r>
          </m:sup>
        </m:sSubSup>
      </m:oMath>
      <w:r>
        <w:t xml:space="preserve"> </w:t>
      </w:r>
      <m:oMath>
        <m:r>
          <m:t>β</m:t>
        </m:r>
      </m:oMath>
      <w:r>
        <w:t xml:space="preserve"> </w:t>
      </w:r>
      <w:r>
        <w:t xml:space="preserve">= -2.115 (p =.004), with Lind–Mehlum p =.009.</w:t>
      </w:r>
      <w:r>
        <w:t xml:space="preserve"> </w:t>
      </w:r>
      <m:oMath>
        <m:sSub>
          <m:e>
            <m:r>
              <m:rPr>
                <m:nor/>
                <m:sty m:val="p"/>
              </m:rPr>
              <m:t>TCI</m:t>
            </m:r>
          </m:e>
          <m:sub>
            <m:r>
              <m:t>z</m:t>
            </m:r>
          </m:sub>
        </m:sSub>
      </m:oMath>
      <w:r>
        <w:t xml:space="preserve"> </w:t>
      </w:r>
      <w:r>
        <w:t xml:space="preserve">retains a positive direct association (</w:t>
      </w:r>
      <m:oMath>
        <m:r>
          <m:t>β</m:t>
        </m:r>
      </m:oMath>
      <w:r>
        <w:t xml:space="preserve"> </w:t>
      </w:r>
      <w:r>
        <w:t xml:space="preserve">= 0.128, p =.010) but at roughly 60 per</w:t>
      </w:r>
      <w:r>
        <w:t xml:space="preserve"> </w:t>
      </w:r>
      <w:r>
        <w:t xml:space="preserve">cent of the 2009 magnitude.</w:t>
      </w:r>
      <w:r>
        <w:t xml:space="preserve"> </w:t>
      </w:r>
      <m:oMath>
        <m:sSub>
          <m:e>
            <m:r>
              <m:rPr>
                <m:nor/>
                <m:sty m:val="p"/>
              </m:rPr>
              <m:t>DAI</m:t>
            </m:r>
          </m:e>
          <m:sub>
            <m:r>
              <m:t>z</m:t>
            </m:r>
          </m:sub>
        </m:sSub>
      </m:oMath>
      <w:r>
        <w:t xml:space="preserve"> </w:t>
      </w:r>
      <w:r>
        <w:t xml:space="preserve">loses direct salience entirely (</w:t>
      </w:r>
      <m:oMath>
        <m:r>
          <m:t>β</m:t>
        </m:r>
      </m:oMath>
      <w:r>
        <w:t xml:space="preserve"> </w:t>
      </w:r>
      <w:r>
        <w:t xml:space="preserve">= -0.044, p =.377). TCI</w:t>
      </w:r>
      <w:r>
        <w:t xml:space="preserve"> </w:t>
      </w:r>
      <w:r>
        <w:t xml:space="preserve">moderation is null in this wave (M3 joint p =.713), and DAI moderation is at best marginal</w:t>
      </w:r>
      <w:r>
        <w:t xml:space="preserve"> </w:t>
      </w:r>
      <w:r>
        <w:t xml:space="preserve">(M4 joint p =.125; M8 joint p =.093). Read as a phase characterisation, 2015 looks like a wave</w:t>
      </w:r>
      <w:r>
        <w:t xml:space="preserve"> </w:t>
      </w:r>
      <w:r>
        <w:t xml:space="preserve">in which the I–P curvature is unusually sharp while the digital channel compresses entirely,</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w:t>
      </w:r>
      <m:oMath>
        <m:sSub>
          <m:e>
            <m:r>
              <m:rPr>
                <m:nor/>
                <m:sty m:val="p"/>
              </m:rPr>
              <m:t>FSTS</m:t>
            </m:r>
          </m:e>
          <m:sub>
            <m:r>
              <m:t>c</m:t>
            </m:r>
          </m:sub>
        </m:sSub>
      </m:oMath>
      <w:r>
        <w:t xml:space="preserve"> </w:t>
      </w:r>
      <m:oMath>
        <m:r>
          <m:t>β</m:t>
        </m:r>
      </m:oMath>
      <w:r>
        <w:t xml:space="preserve"> </w:t>
      </w:r>
      <w:r>
        <w:t xml:space="preserve">= 0.962, p =.039;</w:t>
      </w:r>
      <w:r>
        <w:t xml:space="preserve"> </w:t>
      </w:r>
      <m:oMath>
        <m:sSubSup>
          <m:e>
            <m:r>
              <m:rPr>
                <m:nor/>
                <m:sty m:val="p"/>
              </m:rPr>
              <m:t>FSTS</m:t>
            </m:r>
          </m:e>
          <m:sub>
            <m:r>
              <m:t>c</m:t>
            </m:r>
          </m:sub>
          <m:sup>
            <m:r>
              <m:t>2</m:t>
            </m:r>
          </m:sup>
        </m:sSubSup>
      </m:oMath>
      <w:r>
        <w:t xml:space="preserve"> </w:t>
      </w:r>
      <m:oMath>
        <m:r>
          <m:t>β</m:t>
        </m:r>
      </m:oMath>
      <w:r>
        <w:t xml:space="preserve"> </w:t>
      </w:r>
      <w:r>
        <w:t xml:space="preserve">= -1.686, p =.008; Lind–Mehlum p =.013). In the dual-direct M7, both capability dimensions are positive and significant (</w:t>
      </w:r>
      <m:oMath>
        <m:sSub>
          <m:e>
            <m:r>
              <m:rPr>
                <m:nor/>
                <m:sty m:val="p"/>
              </m:rPr>
              <m:t>TCI</m:t>
            </m:r>
          </m:e>
          <m:sub>
            <m:r>
              <m:t>z</m:t>
            </m:r>
          </m:sub>
        </m:sSub>
      </m:oMath>
      <w:r>
        <w:t xml:space="preserve"> </w:t>
      </w:r>
      <m:oMath>
        <m:r>
          <m:t>β</m:t>
        </m:r>
      </m:oMath>
      <w:r>
        <w:t xml:space="preserve"> </w:t>
      </w:r>
      <w:r>
        <w:t xml:space="preserve">= 0.123, p =.006;</w:t>
      </w:r>
      <w:r>
        <w:t xml:space="preserve"> </w:t>
      </w:r>
      <m:oMath>
        <m:sSub>
          <m:e>
            <m:r>
              <m:rPr>
                <m:nor/>
                <m:sty m:val="p"/>
              </m:rPr>
              <m:t>DAI</m:t>
            </m:r>
          </m:e>
          <m:sub>
            <m:r>
              <m:t>z</m:t>
            </m:r>
          </m:sub>
        </m:sSub>
      </m:oMath>
      <w:r>
        <w:t xml:space="preserve"> </w:t>
      </w:r>
      <m:oMath>
        <m:r>
          <m:t>β</m:t>
        </m:r>
      </m:oMath>
      <w:r>
        <w:t xml:space="preserve"> </w:t>
      </w:r>
      <w:r>
        <w:t xml:space="preserve">= 0.095, p =.038). When the DAI interaction terms are added in M8, the linear interaction is negative and individually significant (</w:t>
      </w:r>
      <m:oMath>
        <m:sSub>
          <m:e>
            <m:r>
              <m:rPr>
                <m:nor/>
                <m:sty m:val="p"/>
              </m:rPr>
              <m:t>FSTS</m:t>
            </m:r>
          </m:e>
          <m:sub>
            <m:r>
              <m:t>c</m:t>
            </m:r>
          </m:sub>
        </m:sSub>
        <m:r>
          <m:rPr>
            <m:sty m:val="p"/>
          </m:rPr>
          <m:t>×</m:t>
        </m:r>
        <m:sSub>
          <m:e>
            <m:r>
              <m:rPr>
                <m:nor/>
                <m:sty m:val="p"/>
              </m:rPr>
              <m:t>DAI</m:t>
            </m:r>
          </m:e>
          <m:sub>
            <m:r>
              <m:t>z</m:t>
            </m:r>
          </m:sub>
        </m:sSub>
      </m:oMath>
      <w:r>
        <w:t xml:space="preserve"> </w:t>
      </w:r>
      <w:r>
        <w:t xml:space="preserve">= -0.912, p =.043), the quadratic interaction is positive but does not reach conventional significance (</w:t>
      </w:r>
      <m:oMath>
        <m:sSubSup>
          <m:e>
            <m:r>
              <m:rPr>
                <m:nor/>
                <m:sty m:val="p"/>
              </m:rPr>
              <m:t>FSTS</m:t>
            </m:r>
          </m:e>
          <m:sub>
            <m:r>
              <m:t>c</m:t>
            </m:r>
          </m:sub>
          <m:sup>
            <m:r>
              <m:t>2</m:t>
            </m:r>
          </m:sup>
        </m:sSubSup>
        <m:r>
          <m:rPr>
            <m:sty m:val="p"/>
          </m:rPr>
          <m:t>×</m:t>
        </m:r>
        <m:sSub>
          <m:e>
            <m:r>
              <m:rPr>
                <m:nor/>
                <m:sty m:val="p"/>
              </m:rPr>
              <m:t>DAI</m:t>
            </m:r>
          </m:e>
          <m:sub>
            <m:r>
              <m:t>z</m:t>
            </m:r>
          </m:sub>
        </m:sSub>
      </m:oMath>
      <w:r>
        <w:t xml:space="preserve"> </w:t>
      </w:r>
      <w:r>
        <w:t xml:space="preserve">= 1.043, p =.099), and the joint test is above the.05 threshold (M4 joint p =.102; M8 joint p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w:t>
      </w:r>
      <m:oMath>
        <m:r>
          <m:t>β</m:t>
        </m:r>
      </m:oMath>
      <w:r>
        <w:t xml:space="preserve">=0.018, p=.942; Section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w:t>
      </w:r>
      <w:r>
        <w:t xml:space="preserve"> </w:t>
      </w:r>
      <m:oMath>
        <m:r>
          <m:rPr>
            <m:nor/>
            <m:sty m:val="p"/>
          </m:rPr>
          <m:t>DAI</m:t>
        </m:r>
        <m:r>
          <m:rPr>
            <m:sty m:val="p"/>
          </m:rPr>
          <m:t>×</m:t>
        </m:r>
        <m:r>
          <m:rPr>
            <m:nor/>
            <m:sty m:val="p"/>
          </m:rPr>
          <m:t>FSTS</m:t>
        </m:r>
      </m:oMath>
      <w:r>
        <w:t xml:space="preserve"> </w:t>
      </w:r>
      <w:r>
        <w:t xml:space="preserve">interaction without requiring that</w:t>
      </w:r>
      <w:r>
        <w:t xml:space="preserve"> </w:t>
      </w:r>
      <w:r>
        <w:t xml:space="preserve">“</w:t>
      </w:r>
      <w:r>
        <w:t xml:space="preserve">digital adoption is bad</w:t>
      </w:r>
      <w:r>
        <w:t xml:space="preserve">”</w:t>
      </w:r>
      <w:r>
        <w:t xml:space="preserve">, instead, the instrument has lost its discriminatory power as Tier 1 adoption has diffused to near-universal levels (49.8% in 2023 vs 42.5% in 2009). The</w:t>
      </w:r>
      <w:r>
        <w:t xml:space="preserve"> </w:t>
      </w:r>
      <m:oMath>
        <m:sSub>
          <m:e>
            <m:r>
              <m:rPr>
                <m:nor/>
                <m:sty m:val="p"/>
              </m:rPr>
              <m:t>DAI</m:t>
            </m:r>
          </m:e>
          <m:sub>
            <m:r>
              <m:t>r</m:t>
            </m:r>
          </m:sub>
        </m:sSub>
      </m:oMath>
      <w:r>
        <w:t xml:space="preserve">ich composite (Tier 1+2; Section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w:t>
      </w:r>
      <m:oMath>
        <m:sSub>
          <m:e>
            <m:r>
              <m:rPr>
                <m:nor/>
                <m:sty m:val="p"/>
              </m:rPr>
              <m:t>TCI</m:t>
            </m:r>
          </m:e>
          <m:sub>
            <m:r>
              <m:t>z</m:t>
            </m:r>
          </m:sub>
        </m:sSub>
      </m:oMath>
      <w:r>
        <w:t xml:space="preserve"> </w:t>
      </w:r>
      <w:r>
        <w:t xml:space="preserve">= 0.215 to 0.128 to 0.123) but with moderation</w:t>
      </w:r>
    </w:p>
    <w:p>
      <w:pPr>
        <w:pStyle w:val="BodyText"/>
      </w:pPr>
      <w:r>
        <w:t xml:space="preserve">that survives in the 2009, 2023 and pooled panels. Website-based digital presence follows a nonmonotonic trajectory, strong in 2009 (</w:t>
      </w:r>
      <m:oMath>
        <m:r>
          <m:t>β</m:t>
        </m:r>
      </m:oMath>
      <w:r>
        <w:t xml:space="preserve"> </w:t>
      </w:r>
      <w:r>
        <w:t xml:space="preserve">= 0.175 **</w:t>
      </w:r>
      <w:r>
        <w:rPr>
          <w:iCs/>
          <w:i/>
        </w:rPr>
        <w:t xml:space="preserve">), null in 2015 (</w:t>
      </w:r>
      <m:oMath>
        <m:r>
          <m:t>β</m:t>
        </m:r>
      </m:oMath>
      <w:r>
        <w:rPr>
          <w:iCs/>
          <w:i/>
        </w:rPr>
        <w:t xml:space="preserve"> </w:t>
      </w:r>
      <w:r>
        <w:rPr>
          <w:iCs/>
          <w:i/>
        </w:rPr>
        <w:t xml:space="preserve">= -0.044 n.s.), and</w:t>
      </w:r>
      <w:r>
        <w:rPr>
          <w:iCs/>
          <w:i/>
        </w:rPr>
        <w:t xml:space="preserve"> </w:t>
      </w:r>
      <w:r>
        <w:rPr>
          <w:iCs/>
          <w:i/>
        </w:rPr>
        <w:t xml:space="preserve">re-emerging in 2023 (</w:t>
      </w:r>
      <m:oMath>
        <m:r>
          <m:t>β</m:t>
        </m:r>
      </m:oMath>
      <w:r>
        <w:rPr>
          <w:iCs/>
          <w:i/>
        </w:rPr>
        <w:t xml:space="preserve"> </w:t>
      </w:r>
      <w:r>
        <w:rPr>
          <w:iCs/>
          <w:i/>
        </w:rPr>
        <w:t xml:space="preserve">= 0.095</w:t>
      </w:r>
      <w:r>
        <w:rPr>
          <w:iCs/>
          <w:i/>
        </w:rPr>
        <w:t xml:space="preserve"> </w:t>
      </w:r>
      <w:r>
        <w:t xml:space="preserve">), and its moderation channel materialises only in 2023.</w:t>
      </w:r>
      <w:r>
        <w:t xml:space="preserve"> </w:t>
      </w:r>
      <w:r>
        <w:t xml:space="preserve">The Paternoster cross-wave z-tests reported in Section 4.5 indicate that the 2009-to-2015 fall in DAI</w:t>
      </w:r>
      <w:r>
        <w:t xml:space="preserve"> </w:t>
      </w:r>
      <w:r>
        <w:t xml:space="preserve">(z = 3.353, p &lt;.001) and the 2015-to-2023 recovery (z = -2.051, p =.040) are statistically</w:t>
      </w:r>
      <w:r>
        <w:t xml:space="preserve"> </w:t>
      </w:r>
      <w:r>
        <w:t xml:space="preserve">distinguishable.</w:t>
      </w:r>
    </w:p>
    <w:p>
      <w:pPr>
        <w:pStyle w:val="BodyText"/>
      </w:pPr>
      <w:r>
        <w:t xml:space="preserve">A formal pooled wave</w:t>
      </w:r>
      <w:r>
        <w:t xml:space="preserve"> </w:t>
      </w:r>
      <m:oMath>
        <m:r>
          <m:rPr>
            <m:sty m:val="p"/>
          </m:rPr>
          <m:t>×</m:t>
        </m:r>
      </m:oMath>
      <w:r>
        <w:t xml:space="preserve"> </w:t>
      </w:r>
      <w:r>
        <w:t xml:space="preserve">focal interaction test (reported as Panel I in 4.5)</w:t>
      </w:r>
    </w:p>
    <w:p>
      <w:pPr>
        <w:pStyle w:val="BodyText"/>
      </w:pPr>
      <w:r>
        <w:t xml:space="preserve">suggests that only the DAI direct shifts are cross-wave-distinguishable; the FSTS curvature and</w:t>
      </w:r>
      <w:r>
        <w:t xml:space="preserve"> </w:t>
      </w:r>
      <w:r>
        <w:t xml:space="preserve">the</w:t>
      </w:r>
      <w:r>
        <w:t xml:space="preserve"> </w:t>
      </w:r>
      <m:oMath>
        <m:r>
          <m:rPr>
            <m:nor/>
            <m:sty m:val="p"/>
          </m:rPr>
          <m:t>FSTS</m:t>
        </m:r>
        <m:r>
          <m:rPr>
            <m:sty m:val="p"/>
          </m:rPr>
          <m:t>×</m:t>
        </m:r>
        <m:r>
          <m:rPr>
            <m:nor/>
            <m:sty m:val="p"/>
          </m:rPr>
          <m:t>DAI</m:t>
        </m:r>
      </m:oMath>
      <w:r>
        <w:t xml:space="preserve"> </w:t>
      </w:r>
      <w:r>
        <w:t xml:space="preserve">moderation differences across waves are not statistically separable in the pooled</w:t>
      </w:r>
      <w:r>
        <w:t xml:space="preserve"> </w:t>
      </w:r>
      <w:r>
        <w:t xml:space="preserve">saturated specification. This study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even at the website-only layer, generated direct gains because the alternative was</w:t>
      </w:r>
      <w:r>
        <w:t xml:space="preserve"> </w:t>
      </w:r>
      <w:r>
        <w:t xml:space="preserve">paper-based transaction processing. The 2015 wave captures a transitional phase in which the I–P curvature is unusually sharp (</w:t>
      </w:r>
      <m:oMath>
        <m:sSubSup>
          <m:e>
            <m:r>
              <m:rPr>
                <m:nor/>
                <m:sty m:val="p"/>
              </m:rPr>
              <m:t>FSTS</m:t>
            </m:r>
          </m:e>
          <m:sub>
            <m:r>
              <m:t>c</m:t>
            </m:r>
          </m:sub>
          <m:sup>
            <m:r>
              <m:t>2</m:t>
            </m:r>
          </m:sup>
        </m:sSubSup>
      </m:oMath>
      <w:r>
        <w:t xml:space="preserve"> </w:t>
      </w:r>
      <w:r>
        <w:t xml:space="preserve">= -2.115, p =.004 in M2) but the digital channel compresses entirely:</w:t>
      </w:r>
      <w:r>
        <w:t xml:space="preserve"> </w:t>
      </w:r>
      <m:oMath>
        <m:sSub>
          <m:e>
            <m:r>
              <m:rPr>
                <m:nor/>
                <m:sty m:val="p"/>
              </m:rPr>
              <m:t>DAI</m:t>
            </m:r>
          </m:e>
          <m:sub>
            <m:r>
              <m:t>z</m:t>
            </m:r>
          </m:sub>
        </m:sSub>
      </m:oMath>
      <w:r>
        <w:t xml:space="preserve"> </w:t>
      </w:r>
      <w:r>
        <w:t xml:space="preserve">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w:t>
      </w:r>
      <w:r>
        <w:t xml:space="preserve"> </w:t>
      </w:r>
      <m:oMath>
        <m:sSub>
          <m:e>
            <m:r>
              <m:rPr>
                <m:nor/>
                <m:sty m:val="p"/>
              </m:rPr>
              <m:t>FSTS</m:t>
            </m:r>
          </m:e>
          <m:sub>
            <m:r>
              <m:t>c</m:t>
            </m:r>
          </m:sub>
        </m:sSub>
        <m:r>
          <m:rPr>
            <m:sty m:val="p"/>
          </m:rPr>
          <m:t>×</m:t>
        </m:r>
        <m:sSub>
          <m:e>
            <m:r>
              <m:rPr>
                <m:nor/>
                <m:sty m:val="p"/>
              </m:rPr>
              <m:t>DAI</m:t>
            </m:r>
          </m:e>
          <m:sub>
            <m:r>
              <m:t>z</m:t>
            </m:r>
          </m:sub>
        </m:sSub>
      </m:oMath>
      <w:r>
        <w:t xml:space="preserve"> </w:t>
      </w:r>
      <w:r>
        <w:t xml:space="preserve">interaction suggests that this conditional channel binds primarily at</w:t>
      </w:r>
      <w:r>
        <w:t xml:space="preserve"> </w:t>
      </w:r>
      <w:r>
        <w:t xml:space="preserve">higher export intensity rather than uniformly across the export-intensity range.</w:t>
      </w:r>
    </w:p>
    <w:bookmarkEnd w:id="43"/>
    <w:bookmarkStart w:id="56" w:name="pooled-findings"/>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w:t>
      </w:r>
      <w:r>
        <w:t xml:space="preserve"> </w:t>
      </w:r>
      <m:oMath>
        <m:sSub>
          <m:e>
            <m:r>
              <m:rPr>
                <m:nor/>
                <m:sty m:val="p"/>
              </m:rPr>
              <m:t>FSTS</m:t>
            </m:r>
          </m:e>
          <m:sub>
            <m:r>
              <m:t>c</m:t>
            </m:r>
          </m:sub>
        </m:sSub>
      </m:oMath>
      <w:r>
        <w:t xml:space="preserve"> </w:t>
      </w:r>
      <w:r>
        <w:t xml:space="preserve">term is positive (</w:t>
      </w:r>
      <m:oMath>
        <m:r>
          <m:t>β</m:t>
        </m:r>
      </m:oMath>
      <w:r>
        <w:t xml:space="preserve"> </w:t>
      </w:r>
      <w:r>
        <w:t xml:space="preserve">= 0.984, p &lt;.001) and the quadratic</w:t>
      </w:r>
      <w:r>
        <w:t xml:space="preserve"> </w:t>
      </w:r>
      <m:oMath>
        <m:sSubSup>
          <m:e>
            <m:r>
              <m:rPr>
                <m:nor/>
                <m:sty m:val="p"/>
              </m:rPr>
              <m:t>FSTS</m:t>
            </m:r>
          </m:e>
          <m:sub>
            <m:r>
              <m:t>c</m:t>
            </m:r>
          </m:sub>
          <m:sup>
            <m:r>
              <m:t>2</m:t>
            </m:r>
          </m:sup>
        </m:sSubSup>
      </m:oMath>
      <w:r>
        <w:t xml:space="preserve"> </w:t>
      </w:r>
      <w:r>
        <w:t xml:space="preserve">term is negative (</w:t>
      </w:r>
      <m:oMath>
        <m:r>
          <m:t>β</m:t>
        </m:r>
      </m:oMath>
      <w:r>
        <w:t xml:space="preserve"> </w:t>
      </w:r>
      <w:r>
        <w:t xml:space="preserve">= -1.909, p &lt;.001); the Lind–Mehlum test rejects monotonicity at p &lt;.001 with an estimated turning point at 39.7 per cent of direct-export intensity. Following Haans, Pieters, and He (2016), all four formal conditions for a genuine inverted-U are met: (C1)</w:t>
      </w:r>
      <w:r>
        <w:t xml:space="preserve"> </w:t>
      </w:r>
      <m:oMath>
        <m:sSub>
          <m:e>
            <m:r>
              <m:t>β</m:t>
            </m:r>
          </m:e>
          <m:sub>
            <m:r>
              <m:t>1</m:t>
            </m:r>
          </m:sub>
        </m:sSub>
      </m:oMath>
      <w:r>
        <w:t xml:space="preserve"> </w:t>
      </w:r>
      <w:r>
        <w:t xml:space="preserve">= +0.984 (p &lt;.001), confirming a positive ascending limb; (C2)</w:t>
      </w:r>
      <w:r>
        <w:t xml:space="preserve"> </w:t>
      </w:r>
      <m:oMath>
        <m:sSub>
          <m:e>
            <m:r>
              <m:t>β</m:t>
            </m:r>
          </m:e>
          <m:sub>
            <m:r>
              <m:t>2</m:t>
            </m:r>
          </m:sub>
        </m:sSub>
      </m:oMath>
      <w:r>
        <w:t xml:space="preserve"> </w:t>
      </w:r>
      <w:r>
        <w:t xml:space="preserve">= −1.909 (p &lt;.001), confirming concavity; (C3) TP* = −</w:t>
      </w:r>
      <m:oMath>
        <m:sSub>
          <m:e>
            <m:r>
              <m:t>β</m:t>
            </m:r>
          </m:e>
          <m:sub>
            <m:r>
              <m:t>1</m:t>
            </m:r>
          </m:sub>
        </m:sSub>
      </m:oMath>
      <w:r>
        <w:t xml:space="preserve">/(2</w:t>
      </w:r>
      <m:oMath>
        <m:sSub>
          <m:e>
            <m:r>
              <m:t>β</m:t>
            </m:r>
          </m:e>
          <m:sub>
            <m:r>
              <m:t>2</m:t>
            </m:r>
          </m:sub>
        </m:sSub>
      </m:oMath>
      <w:r>
        <w:t xml:space="preserve">) = 39.7% falls within the observed FSTS range [0%, 100%]; and (C4) the predicted marginal return of internationalisation is positive at the lower data bound (FSTS = 0%, slope</w:t>
      </w:r>
      <w:r>
        <w:t xml:space="preserve"> </w:t>
      </w:r>
      <m:oMath>
        <m:r>
          <m:rPr>
            <m:sty m:val="p"/>
          </m:rPr>
          <m:t>≈</m:t>
        </m:r>
      </m:oMath>
      <w:r>
        <w:t xml:space="preserve"> </w:t>
      </w:r>
      <w:r>
        <w:t xml:space="preserve">+1.52) and negative at the upper data bound (FSTS = 100%, slope</w:t>
      </w:r>
      <w:r>
        <w:t xml:space="preserve"> </w:t>
      </w:r>
      <m:oMath>
        <m:r>
          <m:rPr>
            <m:sty m:val="p"/>
          </m:rPr>
          <m:t>≈</m:t>
        </m:r>
      </m:oMath>
      <w:r>
        <w:t xml:space="preserve"> </w:t>
      </w:r>
      <w:r>
        <w:t xml:space="preserve">−2.30), with opposite signs confirmed by the Lind–Mehlum (2010) u-test (p &lt;.001 binding). The curvature persists in the full M8 specification (</w:t>
      </w:r>
      <m:oMath>
        <m:sSub>
          <m:e>
            <m:r>
              <m:rPr>
                <m:nor/>
                <m:sty m:val="p"/>
              </m:rPr>
              <m:t>FSTS</m:t>
            </m:r>
          </m:e>
          <m:sub>
            <m:r>
              <m:t>c</m:t>
            </m:r>
          </m:sub>
        </m:sSub>
      </m:oMath>
      <w:r>
        <w:t xml:space="preserve"> </w:t>
      </w:r>
      <m:oMath>
        <m:r>
          <m:t>β</m:t>
        </m:r>
      </m:oMath>
      <w:r>
        <w:t xml:space="preserve"> </w:t>
      </w:r>
      <w:r>
        <w:t xml:space="preserve">= 0.845, p =.006;</w:t>
      </w:r>
      <w:r>
        <w:t xml:space="preserve"> </w:t>
      </w:r>
      <m:oMath>
        <m:sSubSup>
          <m:e>
            <m:r>
              <m:rPr>
                <m:nor/>
                <m:sty m:val="p"/>
              </m:rPr>
              <m:t>FSTS</m:t>
            </m:r>
          </m:e>
          <m:sub>
            <m:r>
              <m:t>c</m:t>
            </m:r>
          </m:sub>
          <m:sup>
            <m:r>
              <m:t>2</m:t>
            </m:r>
          </m:sup>
        </m:sSubSup>
      </m:oMath>
      <w:r>
        <w:t xml:space="preserve"> </w:t>
      </w:r>
      <m:oMath>
        <m:r>
          <m:t>β</m:t>
        </m:r>
      </m:oMath>
      <w:r>
        <w:t xml:space="preserve"> </w:t>
      </w:r>
      <w:r>
        <w:t xml:space="preserve">= -1.650, p &lt;.001);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t xml:space="preserve">**Turning point (TP*)**</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w:t>
      </w:r>
      <w:r>
        <w:t xml:space="preserve"> </w:t>
      </w:r>
      <m:oMath>
        <m:sSub>
          <m:e>
            <m:r>
              <m:t>β</m:t>
            </m:r>
          </m:e>
          <m:sub>
            <m:r>
              <m:t>1</m:t>
            </m:r>
          </m:sub>
        </m:sSub>
      </m:oMath>
      <w:r>
        <w:t xml:space="preserve"> </w:t>
      </w:r>
      <w:r>
        <w:t xml:space="preserve">+ 2</w:t>
      </w:r>
      <m:oMath>
        <m:sSub>
          <m:e>
            <m:r>
              <m:t>β</m:t>
            </m:r>
          </m:e>
          <m:sub>
            <m:r>
              <m:t>2</m:t>
            </m:r>
          </m:sub>
        </m:sSub>
      </m:oMath>
      <w:r>
        <w:t xml:space="preserve"> </w:t>
      </w:r>
      <m:oMath>
        <m:r>
          <m:rPr>
            <m:sty m:val="p"/>
          </m:rPr>
          <m:t>×</m:t>
        </m:r>
      </m:oMath>
      <w:r>
        <w:t xml:space="preserve"> </w:t>
      </w:r>
      <w:r>
        <w:t xml:space="preserve">(FSTS − mean_FSTS) where</w:t>
      </w:r>
      <w:r>
        <w:t xml:space="preserve"> </w:t>
      </w:r>
      <m:oMath>
        <m:sSub>
          <m:e>
            <m:r>
              <m:t>β</m:t>
            </m:r>
          </m:e>
          <m:sub>
            <m:r>
              <m:t>1</m:t>
            </m:r>
          </m:sub>
        </m:sSub>
      </m:oMath>
      <w:r>
        <w:t xml:space="preserve"> </w:t>
      </w:r>
      <w:r>
        <w:t xml:space="preserve">= 0.984,</w:t>
      </w:r>
      <w:r>
        <w:t xml:space="preserve"> </w:t>
      </w:r>
      <m:oMath>
        <m:sSub>
          <m:e>
            <m:r>
              <m:t>β</m:t>
            </m:r>
          </m:e>
          <m:sub>
            <m:r>
              <m:t>2</m:t>
            </m:r>
          </m:sub>
        </m:sSub>
      </m:oMath>
      <w:r>
        <w:t xml:space="preserve"> </w:t>
      </w:r>
      <w:r>
        <w:t xml:space="preserve">= −1.909, mean_FSTS</w:t>
      </w:r>
      <w:r>
        <w:t xml:space="preserve"> </w:t>
      </w:r>
      <m:oMath>
        <m:r>
          <m:rPr>
            <m:sty m:val="p"/>
          </m:rPr>
          <m:t>≈</m:t>
        </m:r>
      </m:oMath>
      <w:r>
        <w:t xml:space="preserve"> </w:t>
      </w:r>
      <w:r>
        <w:t xml:space="preserve">13.9%. SEs omitted pending full covariance matrix; the Lind–Mehlum u-test (p &lt;.001)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w:t>
      </w:r>
      <w:r>
        <w:t xml:space="preserve"> </w:t>
      </w:r>
      <m:oMath>
        <m:sSub>
          <m:e>
            <m:r>
              <m:rPr>
                <m:nor/>
                <m:sty m:val="p"/>
              </m:rPr>
              <m:t>TCI</m:t>
            </m:r>
          </m:e>
          <m:sub>
            <m:r>
              <m:t>z</m:t>
            </m:r>
          </m:sub>
        </m:sSub>
      </m:oMath>
      <w:r>
        <w:t xml:space="preserve"> </w:t>
      </w:r>
      <w:r>
        <w:t xml:space="preserve">is positive (</w:t>
      </w:r>
      <m:oMath>
        <m:r>
          <m:t>β</m:t>
        </m:r>
      </m:oMath>
      <w:r>
        <w:t xml:space="preserve"> </w:t>
      </w:r>
      <w:r>
        <w:t xml:space="preserve">= 0.179, p &lt;.001), and</w:t>
      </w:r>
      <w:r>
        <w:t xml:space="preserve"> </w:t>
      </w:r>
      <m:oMath>
        <m:sSub>
          <m:e>
            <m:r>
              <m:rPr>
                <m:nor/>
                <m:sty m:val="p"/>
              </m:rPr>
              <m:t>DAI</m:t>
            </m:r>
          </m:e>
          <m:sub>
            <m:r>
              <m:t>z</m:t>
            </m:r>
          </m:sub>
        </m:sSub>
      </m:oMath>
      <w:r>
        <w:t xml:space="preserve"> </w:t>
      </w:r>
      <w:r>
        <w:t xml:space="preserve">is positive and significant (</w:t>
      </w:r>
      <m:oMath>
        <m:r>
          <m:t>β</m:t>
        </m:r>
      </m:oMath>
      <w:r>
        <w:t xml:space="preserve"> </w:t>
      </w:r>
      <w:r>
        <w:t xml:space="preserve">= 0.078, p =.004). In the full M8 specification, the</w:t>
      </w:r>
      <w:r>
        <w:t xml:space="preserve"> </w:t>
      </w:r>
      <m:oMath>
        <m:sSub>
          <m:e>
            <m:r>
              <m:rPr>
                <m:nor/>
                <m:sty m:val="p"/>
              </m:rPr>
              <m:t>TCI</m:t>
            </m:r>
          </m:e>
          <m:sub>
            <m:r>
              <m:t>z</m:t>
            </m:r>
          </m:sub>
        </m:sSub>
      </m:oMath>
      <w:r>
        <w:t xml:space="preserve"> </w:t>
      </w:r>
      <w:r>
        <w:t xml:space="preserve">coefficient is essentially unchanged (</w:t>
      </w:r>
      <m:oMath>
        <m:r>
          <m:t>β</m:t>
        </m:r>
      </m:oMath>
      <w:r>
        <w:t xml:space="preserve"> </w:t>
      </w:r>
      <w:r>
        <w:t xml:space="preserve">= 0.184, p &lt;.001), while the</w:t>
      </w:r>
      <w:r>
        <w:t xml:space="preserve"> </w:t>
      </w:r>
      <m:oMath>
        <m:sSub>
          <m:e>
            <m:r>
              <m:rPr>
                <m:nor/>
                <m:sty m:val="p"/>
              </m:rPr>
              <m:t>DAI</m:t>
            </m:r>
          </m:e>
          <m:sub>
            <m:r>
              <m:t>z</m:t>
            </m:r>
          </m:sub>
        </m:sSub>
      </m:oMath>
      <w:r>
        <w:t xml:space="preserve"> </w:t>
      </w:r>
      <w:r>
        <w:t xml:space="preserve">direct coefficient becomes statistically indistinguishable from zero (</w:t>
      </w:r>
      <m:oMath>
        <m:r>
          <m:t>β</m:t>
        </m:r>
      </m:oMath>
      <w:r>
        <w:t xml:space="preserve"> </w:t>
      </w:r>
      <w:r>
        <w:t xml:space="preserve">= 0.032, p =.537) once the interaction terms are entered.</w:t>
      </w:r>
      <w:r>
        <w:t xml:space="preserve"> </w:t>
      </w:r>
      <w:r>
        <w:t xml:space="preserve">This sensitivity is consistent with the interpretation that</w:t>
      </w:r>
      <w:r>
        <w:t xml:space="preserve"> </w:t>
      </w:r>
      <m:oMath>
        <m:sSub>
          <m:e>
            <m:r>
              <m:rPr>
                <m:nor/>
                <m:sty m:val="p"/>
              </m:rPr>
              <m:t>DAI</m:t>
            </m:r>
          </m:e>
          <m:sub>
            <m:r>
              <m:t>z</m:t>
            </m:r>
          </m:sub>
        </m:sSub>
      </m:oMath>
      <w:r>
        <w:t xml:space="preserve"> </w:t>
      </w:r>
      <w:r>
        <w:t xml:space="preserve">combines a positive level effect</w:t>
      </w:r>
      <w:r>
        <w:t xml:space="preserve"> </w:t>
      </w:r>
      <w:r>
        <w:t xml:space="preserve">with a negative interaction with</w:t>
      </w:r>
      <w:r>
        <w:t xml:space="preserve"> </w:t>
      </w:r>
      <m:oMath>
        <m:sSub>
          <m:e>
            <m:r>
              <m:rPr>
                <m:nor/>
                <m:sty m:val="p"/>
              </m:rPr>
              <m:t>FSTS</m:t>
            </m:r>
          </m:e>
          <m:sub>
            <m:r>
              <m:t>c</m:t>
            </m:r>
          </m:sub>
        </m:sSub>
      </m:oMath>
      <w:r>
        <w:t xml:space="preserve"> </w:t>
      </w:r>
      <w:r>
        <w:t xml:space="preserve">at higher export intensities, precisely the pattern</w:t>
      </w:r>
    </w:p>
    <w:p>
      <w:pPr>
        <w:pStyle w:val="BodyText"/>
      </w:pPr>
      <w:r>
        <w:t xml:space="preserve">documented in 4.1 for the 2023 wave.</w:t>
      </w:r>
      <w:r>
        <w:t xml:space="preserve"> </w:t>
      </w:r>
      <w:r>
        <w:t xml:space="preserve">The pooled interaction terms involving</w:t>
      </w:r>
      <w:r>
        <w:t xml:space="preserve"> </w:t>
      </w:r>
      <m:oMath>
        <m:sSub>
          <m:e>
            <m:r>
              <m:rPr>
                <m:nor/>
                <m:sty m:val="p"/>
              </m:rPr>
              <m:t>DAI</m:t>
            </m:r>
          </m:e>
          <m:sub>
            <m:r>
              <m:t>z</m:t>
            </m:r>
          </m:sub>
        </m:sSub>
      </m:oMath>
      <w:r>
        <w:t xml:space="preserve"> </w:t>
      </w:r>
      <w:r>
        <w:t xml:space="preserve">carry a marginal joint signal. The linear interaction is negative but not individually significant (</w:t>
      </w:r>
      <m:oMath>
        <m:sSub>
          <m:e>
            <m:r>
              <m:rPr>
                <m:nor/>
                <m:sty m:val="p"/>
              </m:rPr>
              <m:t>FSTS</m:t>
            </m:r>
          </m:e>
          <m:sub>
            <m:r>
              <m:t>c</m:t>
            </m:r>
          </m:sub>
        </m:sSub>
        <m:r>
          <m:rPr>
            <m:sty m:val="p"/>
          </m:rPr>
          <m:t>×</m:t>
        </m:r>
        <m:sSub>
          <m:e>
            <m:r>
              <m:rPr>
                <m:nor/>
                <m:sty m:val="p"/>
              </m:rPr>
              <m:t>DAI</m:t>
            </m:r>
          </m:e>
          <m:sub>
            <m:r>
              <m:t>z</m:t>
            </m:r>
          </m:sub>
        </m:sSub>
      </m:oMath>
      <w:r>
        <w:t xml:space="preserve"> </w:t>
      </w:r>
      <w:r>
        <w:t xml:space="preserve">= -0.448, p =.116), and the quadratic interaction is positive but not significant (</w:t>
      </w:r>
      <m:oMath>
        <m:sSubSup>
          <m:e>
            <m:r>
              <m:rPr>
                <m:nor/>
                <m:sty m:val="p"/>
              </m:rPr>
              <m:t>FSTS</m:t>
            </m:r>
          </m:e>
          <m:sub>
            <m:r>
              <m:t>c</m:t>
            </m:r>
          </m:sub>
          <m:sup>
            <m:r>
              <m:t>2</m:t>
            </m:r>
          </m:sup>
        </m:sSubSup>
        <m:r>
          <m:rPr>
            <m:sty m:val="p"/>
          </m:rPr>
          <m:t>×</m:t>
        </m:r>
        <m:sSub>
          <m:e>
            <m:r>
              <m:rPr>
                <m:nor/>
                <m:sty m:val="p"/>
              </m:rPr>
              <m:t>DAI</m:t>
            </m:r>
          </m:e>
          <m:sub>
            <m:r>
              <m:t>z</m:t>
            </m:r>
          </m:sub>
        </m:sSub>
      </m:oMath>
      <w:r>
        <w:t xml:space="preserve"> </w:t>
      </w:r>
      <w:r>
        <w:t xml:space="preserve">= 0.460, p =.276). The joint Wald test does not reach conventional significance (M8 joint p =.083). This pooled signal</w:t>
      </w:r>
      <w:r>
        <w:t xml:space="preserve"> </w:t>
      </w:r>
      <w:r>
        <w:t xml:space="preserve">is driven primarily by the 2023 wave: the M4 joint moderation test on DAI is null in 2009 (p =</w:t>
      </w:r>
      <w:r>
        <w:t xml:space="preserve"> </w:t>
      </w:r>
      <w:r>
        <w:t xml:space="preserve">.825) and 2015 (p =.125), and remains above the.05 threshold in 2023 (M4 joint p =.102;</w:t>
      </w:r>
      <w:r>
        <w:t xml:space="preserve"> </w:t>
      </w:r>
      <w:r>
        <w:t xml:space="preserve">M8 joint p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w:t>
      </w:r>
      <w:r>
        <w:t xml:space="preserve"> </w:t>
      </w:r>
      <m:oMath>
        <m:sSub>
          <m:e>
            <m:r>
              <m:rPr>
                <m:nor/>
                <m:sty m:val="p"/>
              </m:rPr>
              <m:t>FSTS</m:t>
            </m:r>
          </m:e>
          <m:sub>
            <m:r>
              <m:t>c</m:t>
            </m:r>
          </m:sub>
        </m:sSub>
        <m:r>
          <m:rPr>
            <m:sty m:val="p"/>
          </m:rPr>
          <m:t>×</m:t>
        </m:r>
        <m:sSub>
          <m:e>
            <m:r>
              <m:rPr>
                <m:nor/>
                <m:sty m:val="p"/>
              </m:rPr>
              <m:t>TCI</m:t>
            </m:r>
          </m:e>
          <m:sub>
            <m:r>
              <m:t>z</m:t>
            </m:r>
          </m:sub>
        </m:sSub>
      </m:oMath>
      <w:r>
        <w:t xml:space="preserve"> </w:t>
      </w:r>
      <w:r>
        <w:t xml:space="preserve">and</w:t>
      </w:r>
      <w:r>
        <w:t xml:space="preserve"> </w:t>
      </w:r>
      <m:oMath>
        <m:sSubSup>
          <m:e>
            <m:r>
              <m:rPr>
                <m:nor/>
                <m:sty m:val="p"/>
              </m:rPr>
              <m:t>FSTS</m:t>
            </m:r>
          </m:e>
          <m:sub>
            <m:r>
              <m:t>c</m:t>
            </m:r>
          </m:sub>
          <m:sup>
            <m:r>
              <m:t>2</m:t>
            </m:r>
          </m:sup>
        </m:sSubSup>
        <m:r>
          <m:rPr>
            <m:sty m:val="p"/>
          </m:rPr>
          <m:t>×</m:t>
        </m:r>
        <m:sSub>
          <m:e>
            <m:r>
              <m:rPr>
                <m:nor/>
                <m:sty m:val="p"/>
              </m:rPr>
              <m:t>TCI</m:t>
            </m:r>
          </m:e>
          <m:sub>
            <m:r>
              <m:t>z</m:t>
            </m:r>
          </m:sub>
        </m:sSub>
      </m:oMath>
      <w:r>
        <w:t xml:space="preserve"> </w:t>
      </w:r>
      <w:r>
        <w:t xml:space="preserve">is statistically distinguishable from zero in three of four panels (2009 p =.040, 2023 p =.027, pooled p =.004) and null only in 2015 (p =.713). Pooled, the linear interaction is negative (</w:t>
      </w:r>
      <m:oMath>
        <m:sSub>
          <m:e>
            <m:r>
              <m:rPr>
                <m:nor/>
                <m:sty m:val="p"/>
              </m:rPr>
              <m:t>FSTS</m:t>
            </m:r>
          </m:e>
          <m:sub>
            <m:r>
              <m:t>c</m:t>
            </m:r>
          </m:sub>
        </m:sSub>
        <m:r>
          <m:rPr>
            <m:sty m:val="p"/>
          </m:rPr>
          <m:t>×</m:t>
        </m:r>
        <m:sSub>
          <m:e>
            <m:r>
              <m:rPr>
                <m:nor/>
                <m:sty m:val="p"/>
              </m:rPr>
              <m:t>TCI</m:t>
            </m:r>
          </m:e>
          <m:sub>
            <m:r>
              <m:t>z</m:t>
            </m:r>
          </m:sub>
        </m:sSub>
      </m:oMath>
      <w:r>
        <w:t xml:space="preserve"> </w:t>
      </w:r>
      <w:r>
        <w:t xml:space="preserve">= -0.587, p =.004) and the quadratic is positive (</w:t>
      </w:r>
      <m:oMath>
        <m:sSubSup>
          <m:e>
            <m:r>
              <m:rPr>
                <m:nor/>
                <m:sty m:val="p"/>
              </m:rPr>
              <m:t>FSTS</m:t>
            </m:r>
          </m:e>
          <m:sub>
            <m:r>
              <m:t>c</m:t>
            </m:r>
          </m:sub>
          <m:sup>
            <m:r>
              <m:t>2</m:t>
            </m:r>
          </m:sup>
        </m:sSubSup>
        <m:r>
          <m:rPr>
            <m:sty m:val="p"/>
          </m:rPr>
          <m:t>×</m:t>
        </m:r>
        <m:sSub>
          <m:e>
            <m:r>
              <m:rPr>
                <m:nor/>
                <m:sty m:val="p"/>
              </m:rPr>
              <m:t>TCI</m:t>
            </m:r>
          </m:e>
          <m:sub>
            <m:r>
              <m:t>z</m:t>
            </m:r>
          </m:sub>
        </m:sSub>
      </m:oMath>
      <w:r>
        <w:t xml:space="preserve"> </w:t>
      </w:r>
      <w:r>
        <w:t xml:space="preserve">= 0.640, p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CaptionedFigure"/>
      </w:pPr>
      <w:r>
        <w:drawing>
          <wp:inline>
            <wp:extent cx="5334000" cy="3555999"/>
            <wp:effectExtent b="0" l="0" r="0" t="0"/>
            <wp:docPr descr="Figure 2a: Wave 2009, predicted ln(labour productivity) vs FSTS" title="" id="45" name="Picture"/>
            <a:graphic>
              <a:graphicData uri="http://schemas.openxmlformats.org/drawingml/2006/picture">
                <pic:pic>
                  <pic:nvPicPr>
                    <pic:cNvPr descr="figures/vietnam/figure_2a.png" id="46" name="Picture"/>
                    <pic:cNvPicPr>
                      <a:picLocks noChangeArrowheads="1" noChangeAspect="1"/>
                    </pic:cNvPicPr>
                  </pic:nvPicPr>
                  <pic:blipFill>
                    <a:blip r:embed="rId44"/>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Figure 2a: Wave 2009, predicted ln(labour productivity) vs FSTS</w:t>
      </w:r>
    </w:p>
    <w:p>
      <w:pPr>
        <w:pStyle w:val="BodyText"/>
      </w:pPr>
      <w:r>
        <w:rPr>
          <w:iCs/>
          <w:i/>
        </w:rPr>
        <w:t xml:space="preserve">Figure 2a.</w:t>
      </w:r>
      <w:r>
        <w:t xml:space="preserve"> </w:t>
      </w:r>
      <w:r>
        <w:t xml:space="preserve">Predicted ln(labour productivity) as a function of FSTS for the 2009 wave (M2). Shaded band = 95% CI. Turning point</w:t>
      </w:r>
      <w:r>
        <w:t xml:space="preserve"> </w:t>
      </w:r>
      <m:oMath>
        <m:r>
          <m:rPr>
            <m:sty m:val="p"/>
          </m:rPr>
          <m:t>≈</m:t>
        </m:r>
      </m:oMath>
      <w:r>
        <w:t xml:space="preserve"> </w:t>
      </w:r>
      <w:r>
        <w:t xml:space="preserve">46% FSTS (Lind-Mehlum p =.006).</w:t>
      </w:r>
    </w:p>
    <w:p>
      <w:pPr>
        <w:pStyle w:val="CaptionedFigure"/>
      </w:pPr>
      <w:r>
        <w:drawing>
          <wp:inline>
            <wp:extent cx="5334000" cy="3555999"/>
            <wp:effectExtent b="0" l="0" r="0" t="0"/>
            <wp:docPr descr="Figure 2b: Wave 2015, predicted ln(labour productivity) vs FSTS" title="" id="48" name="Picture"/>
            <a:graphic>
              <a:graphicData uri="http://schemas.openxmlformats.org/drawingml/2006/picture">
                <pic:pic>
                  <pic:nvPicPr>
                    <pic:cNvPr descr="figures/vietnam/figure_2b.png" id="49" name="Picture"/>
                    <pic:cNvPicPr>
                      <a:picLocks noChangeArrowheads="1" noChangeAspect="1"/>
                    </pic:cNvPicPr>
                  </pic:nvPicPr>
                  <pic:blipFill>
                    <a:blip r:embed="rId47"/>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Figure 2b: Wave 2015, predicted ln(labour productivity) vs FSTS</w:t>
      </w:r>
    </w:p>
    <w:p>
      <w:pPr>
        <w:pStyle w:val="BodyText"/>
      </w:pPr>
      <w:r>
        <w:rPr>
          <w:iCs/>
          <w:i/>
        </w:rPr>
        <w:t xml:space="preserve">Figure 2b.</w:t>
      </w:r>
      <w:r>
        <w:t xml:space="preserve"> </w:t>
      </w:r>
      <w:r>
        <w:t xml:space="preserve">Predicted ln(labour productivity) as a function of FSTS for the 2015 wave (M2). Turning point</w:t>
      </w:r>
      <w:r>
        <w:t xml:space="preserve"> </w:t>
      </w:r>
      <m:oMath>
        <m:r>
          <m:rPr>
            <m:sty m:val="p"/>
          </m:rPr>
          <m:t>≈</m:t>
        </m:r>
      </m:oMath>
      <w:r>
        <w:t xml:space="preserve"> </w:t>
      </w:r>
      <w:r>
        <w:t xml:space="preserve">39% FSTS (Lind-Mehlum p =.009).</w:t>
      </w:r>
    </w:p>
    <w:p>
      <w:pPr>
        <w:pStyle w:val="CaptionedFigure"/>
      </w:pPr>
      <w:r>
        <w:drawing>
          <wp:inline>
            <wp:extent cx="5334000" cy="3555999"/>
            <wp:effectExtent b="0" l="0" r="0" t="0"/>
            <wp:docPr descr="Figure 2c: Wave 2023, predicted ln(labour productivity) vs FSTS" title="" id="51" name="Picture"/>
            <a:graphic>
              <a:graphicData uri="http://schemas.openxmlformats.org/drawingml/2006/picture">
                <pic:pic>
                  <pic:nvPicPr>
                    <pic:cNvPr descr="figures/vietnam/figure_2c.png" id="52" name="Picture"/>
                    <pic:cNvPicPr>
                      <a:picLocks noChangeArrowheads="1" noChangeAspect="1"/>
                    </pic:cNvPicPr>
                  </pic:nvPicPr>
                  <pic:blipFill>
                    <a:blip r:embed="rId50"/>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Figure 2c: Wave 2023, predicted ln(labour productivity) vs FSTS</w:t>
      </w:r>
    </w:p>
    <w:p>
      <w:pPr>
        <w:pStyle w:val="BodyText"/>
      </w:pPr>
      <w:r>
        <w:rPr>
          <w:iCs/>
          <w:i/>
        </w:rPr>
        <w:t xml:space="preserve">Figure 2c.</w:t>
      </w:r>
      <w:r>
        <w:t xml:space="preserve"> </w:t>
      </w:r>
      <w:r>
        <w:t xml:space="preserve">Predicted ln(labour productivity) as a function of FSTS for the 2023 wave (M2). Turning point</w:t>
      </w:r>
      <w:r>
        <w:t xml:space="preserve"> </w:t>
      </w:r>
      <m:oMath>
        <m:r>
          <m:rPr>
            <m:sty m:val="p"/>
          </m:rPr>
          <m:t>≈</m:t>
        </m:r>
      </m:oMath>
      <w:r>
        <w:t xml:space="preserve"> </w:t>
      </w:r>
      <w:r>
        <w:t xml:space="preserve">42% FSTS (Lind-Mehlum p =.013).</w:t>
      </w:r>
    </w:p>
    <w:p>
      <w:pPr>
        <w:pStyle w:val="CaptionedFigure"/>
      </w:pPr>
      <w:r>
        <w:drawing>
          <wp:inline>
            <wp:extent cx="5334000" cy="3555999"/>
            <wp:effectExtent b="0" l="0" r="0" t="0"/>
            <wp:docPr descr="Figure 2d: Pooled (2009+2015+2023), predicted ln(labour productivity) vs FSTS" title="" id="54" name="Picture"/>
            <a:graphic>
              <a:graphicData uri="http://schemas.openxmlformats.org/drawingml/2006/picture">
                <pic:pic>
                  <pic:nvPicPr>
                    <pic:cNvPr descr="figures/vietnam/figure_2d.png" id="55" name="Picture"/>
                    <pic:cNvPicPr>
                      <a:picLocks noChangeArrowheads="1" noChangeAspect="1"/>
                    </pic:cNvPicPr>
                  </pic:nvPicPr>
                  <pic:blipFill>
                    <a:blip r:embed="rId53"/>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Figure 2d: Pooled (2009+2015+2023), predicted ln(labour productivity) vs FSTS</w:t>
      </w:r>
    </w:p>
    <w:p>
      <w:pPr>
        <w:pStyle w:val="BodyText"/>
      </w:pPr>
      <w:r>
        <w:rPr>
          <w:iCs/>
          <w:i/>
        </w:rPr>
        <w:t xml:space="preserve">Figure 2d.</w:t>
      </w:r>
      <w:r>
        <w:t xml:space="preserve"> </w:t>
      </w:r>
      <w:r>
        <w:t xml:space="preserve">Predicted ln(labour productivity) as a function of FSTS for the pooled sample (M2). Turning point</w:t>
      </w:r>
      <w:r>
        <w:t xml:space="preserve"> </w:t>
      </w:r>
      <m:oMath>
        <m:r>
          <m:rPr>
            <m:sty m:val="p"/>
          </m:rPr>
          <m:t>≈</m:t>
        </m:r>
      </m:oMath>
      <w:r>
        <w:t xml:space="preserve"> </w:t>
      </w:r>
      <w:r>
        <w:t xml:space="preserve">40% FSTS (Lind-Mehlum p &lt;.001).</w:t>
      </w:r>
    </w:p>
    <w:bookmarkEnd w:id="56"/>
    <w:bookmarkStart w:id="60" w:name="interpretation-of-the-hypothesis-tests"/>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=.006, 2015 p =.009, 2023 p =.013) and in the pooled</w:t>
      </w:r>
      <w:r>
        <w:t xml:space="preserve"> </w:t>
      </w:r>
      <w:r>
        <w:t xml:space="preserve">sample (p &lt;.001),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coordination capacity, contract enforcement, and trade-finance access, that change more slowly than the wider operating environment. This within-WBES cross-wave evidence complements the institutional-context channel identified in meta-analyses of the I–P relationship (Wu, Fan, &amp; Chen, 2022, MIR; Marano et al., 2016).</w:t>
      </w:r>
    </w:p>
    <w:p>
      <w:pPr>
        <w:pStyle w:val="BodyText"/>
      </w:pPr>
      <w:r>
        <w:t xml:space="preserve">H2 is supported: the positive</w:t>
      </w:r>
      <w:r>
        <w:t xml:space="preserve"> </w:t>
      </w:r>
      <m:oMath>
        <m:sSub>
          <m:e>
            <m:r>
              <m:rPr>
                <m:nor/>
                <m:sty m:val="p"/>
              </m:rPr>
              <m:t>TCI</m:t>
            </m:r>
          </m:e>
          <m:sub>
            <m:r>
              <m:t>z</m:t>
            </m:r>
          </m:sub>
        </m:sSub>
      </m:oMath>
      <w:r>
        <w:t xml:space="preserve"> </w:t>
      </w:r>
      <w:r>
        <w:t xml:space="preserve">direct coefficient (pooled</w:t>
      </w:r>
      <w:r>
        <w:t xml:space="preserve"> </w:t>
      </w:r>
      <m:oMath>
        <m:r>
          <m:t>β</m:t>
        </m:r>
      </m:oMath>
      <w:r>
        <w:t xml:space="preserve"> </w:t>
      </w:r>
      <w:r>
        <w:t xml:space="preserve">= 0.179, p &lt;.001) is statistically significant in all three wave-specific periods (2009 p &lt;.001; 2015 p =.010; 2023 p =.006), and statistically distinguishable TCI moderation appears in three of four panels (M3 joint p =.040,.713,.027 and.003). The baseline</w:t>
      </w:r>
      <w:r>
        <w:t xml:space="preserve"> </w:t>
      </w:r>
      <m:oMath>
        <m:sSub>
          <m:e>
            <m:r>
              <m:rPr>
                <m:nor/>
                <m:sty m:val="p"/>
              </m:rPr>
              <m:t>DAI</m:t>
            </m:r>
          </m:e>
          <m:sub>
            <m:r>
              <m:t>z</m:t>
            </m:r>
          </m:sub>
        </m:sSub>
      </m:oMath>
      <w:r>
        <w:t xml:space="preserve"> </w:t>
      </w:r>
      <w:r>
        <w:t xml:space="preserve">control reports a positive pooled level association (</w:t>
      </w:r>
      <m:oMath>
        <m:r>
          <m:t>β</m:t>
        </m:r>
      </m:oMath>
      <w:r>
        <w:t xml:space="preserve"> </w:t>
      </w:r>
      <w:r>
        <w:t xml:space="preserve">= 0.078, p =.004) but with substantial wave-to-wave variability, strong in 2009 (</w:t>
      </w:r>
      <m:oMath>
        <m:r>
          <m:t>β</m:t>
        </m:r>
      </m:oMath>
      <w:r>
        <w:t xml:space="preserve"> </w:t>
      </w:r>
      <w:r>
        <w:t xml:space="preserve">= 0.175, p &lt;.001), null in 2015 (</w:t>
      </w:r>
      <m:oMath>
        <m:r>
          <m:t>β</m:t>
        </m:r>
      </m:oMath>
      <w:r>
        <w:t xml:space="preserve"> </w:t>
      </w:r>
      <w:r>
        <w:t xml:space="preserve">= -0.044, p =.377), and re-emerging in 2023 (</w:t>
      </w:r>
      <m:oMath>
        <m:r>
          <m:t>β</m:t>
        </m:r>
      </m:oMath>
      <w:r>
        <w:t xml:space="preserve"> </w:t>
      </w:r>
      <w:r>
        <w:t xml:space="preserve">= 0.095, p =.038). Because</w:t>
      </w:r>
      <w:r>
        <w:t xml:space="preserve"> </w:t>
      </w:r>
      <m:oMath>
        <m:sSub>
          <m:e>
            <m:r>
              <m:rPr>
                <m:nor/>
                <m:sty m:val="p"/>
              </m:rPr>
              <m:t>DAI</m:t>
            </m:r>
          </m:e>
          <m:sub>
            <m:r>
              <m:t>z</m:t>
            </m:r>
          </m:sub>
        </m:sSub>
      </m:oMath>
      <w:r>
        <w:t xml:space="preserve"> </w:t>
      </w:r>
      <w:r>
        <w:t xml:space="preserve">indexes only Tier-1 website presence and is not formalised as a primary hypothesis in this paper, this wave variation is reported descriptively rather than as a hypothesis test. The Paternoster cross-wave z-tests (Section 4.5, Panel F) indicate that the 2009-to-2015 fall (z = 3.353, p &lt;.001) and the 2015-to-2023 recovery (z = -2.051, p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=.825), null in 2015 (M4 p =.125) and reaches the edge of significance</w:t>
      </w:r>
      <w:r>
        <w:t xml:space="preserve"> </w:t>
      </w:r>
      <w:r>
        <w:t xml:space="preserve">in 2023 with the individual interaction</w:t>
      </w:r>
      <w:r>
        <w:t xml:space="preserve"> </w:t>
      </w:r>
      <m:oMath>
        <m:sSub>
          <m:e>
            <m:r>
              <m:rPr>
                <m:nor/>
                <m:sty m:val="p"/>
              </m:rPr>
              <m:t>FSTS</m:t>
            </m:r>
          </m:e>
          <m:sub>
            <m:r>
              <m:t>c</m:t>
            </m:r>
          </m:sub>
        </m:sSub>
        <m:r>
          <m:rPr>
            <m:sty m:val="p"/>
          </m:rPr>
          <m:t>×</m:t>
        </m:r>
        <m:sSub>
          <m:e>
            <m:r>
              <m:rPr>
                <m:nor/>
                <m:sty m:val="p"/>
              </m:rPr>
              <m:t>DAI</m:t>
            </m:r>
          </m:e>
          <m:sub>
            <m:r>
              <m:t>z</m:t>
            </m:r>
          </m:sub>
        </m:sSub>
      </m:oMath>
      <w:r>
        <w:t xml:space="preserve"> </w:t>
      </w:r>
      <w:r>
        <w:t xml:space="preserve">= -0.912 (p =.043) and</w:t>
      </w:r>
      <w:r>
        <w:t xml:space="preserve"> </w:t>
      </w:r>
      <w:r>
        <w:t xml:space="preserve">the joint test at M4 p =.102, M8 p =.062. The pooled M8 joint test (p =.083)</w:t>
      </w:r>
      <w:r>
        <w:t xml:space="preserve"> </w:t>
      </w:r>
      <w:r>
        <w:t xml:space="preserve">is also above the.05 threshold (p =.083), driven by the 2023 wave rather than by a stable</w:t>
      </w:r>
      <w:r>
        <w:t xml:space="preserve"> </w:t>
      </w:r>
      <w:r>
        <w:t xml:space="preserve">cross-period moderation. The formal pooled wave</w:t>
      </w:r>
      <w:r>
        <w:t xml:space="preserve"> </w:t>
      </w:r>
      <m:oMath>
        <m:r>
          <m:rPr>
            <m:sty m:val="p"/>
          </m:rPr>
          <m:t>×</m:t>
        </m:r>
      </m:oMath>
      <w:r>
        <w:t xml:space="preserve"> </w:t>
      </w:r>
      <w:r>
        <w:t xml:space="preserve">focal interaction test (Panel I)</w:t>
      </w:r>
      <w:r>
        <w:t xml:space="preserve"> </w:t>
      </w:r>
      <w:r>
        <w:t xml:space="preserve">does not detect cross-wave differences in the</w:t>
      </w:r>
      <w:r>
        <w:t xml:space="preserve"> </w:t>
      </w:r>
      <m:oMath>
        <m:r>
          <m:rPr>
            <m:nor/>
            <m:sty m:val="p"/>
          </m:rPr>
          <m:t>FSTS</m:t>
        </m:r>
        <m:r>
          <m:rPr>
            <m:sty m:val="p"/>
          </m:rPr>
          <m:t>×</m:t>
        </m:r>
        <m:r>
          <m:rPr>
            <m:nor/>
            <m:sty m:val="p"/>
          </m:rPr>
          <m:t>DAI</m:t>
        </m:r>
      </m:oMath>
      <w:r>
        <w:t xml:space="preserve"> </w:t>
      </w:r>
      <w:r>
        <w:t xml:space="preserve">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this study distinguishes two types of moderation for curvilinear I–P relationships. Type I moderation flattens or steepens one slope of the inverted-U (i.e., the linear</w:t>
      </w:r>
      <w:r>
        <w:t xml:space="preserve"> </w:t>
      </w:r>
      <m:oMath>
        <m:r>
          <m:rPr>
            <m:nor/>
            <m:sty m:val="p"/>
          </m:rPr>
          <m:t>FSTS</m:t>
        </m:r>
        <m:r>
          <m:rPr>
            <m:sty m:val="p"/>
          </m:rPr>
          <m:t>×</m:t>
        </m:r>
        <m:r>
          <m:rPr>
            <m:nor/>
            <m:sty m:val="p"/>
          </m:rPr>
          <m:t>DAI</m:t>
        </m:r>
      </m:oMath>
      <w:r>
        <w:t xml:space="preserve"> </w:t>
      </w:r>
      <w:r>
        <w:t xml:space="preserve">interaction is significant while</w:t>
      </w:r>
      <w:r>
        <w:t xml:space="preserve"> </w:t>
      </w:r>
      <m:oMath>
        <m:sSup>
          <m:e>
            <m:r>
              <m:rPr>
                <m:nor/>
                <m:sty m:val="p"/>
              </m:rPr>
              <m:t>FSTS</m:t>
            </m:r>
          </m:e>
          <m:sup>
            <m:r>
              <m:t>2</m:t>
            </m:r>
          </m:sup>
        </m:sSup>
        <m:r>
          <m:rPr>
            <m:sty m:val="p"/>
          </m:rPr>
          <m:t>×</m:t>
        </m:r>
        <m:r>
          <m:rPr>
            <m:nor/>
            <m:sty m:val="p"/>
          </m:rPr>
          <m:t>DAI</m:t>
        </m:r>
      </m:oMath>
      <w:r>
        <w:t xml:space="preserve"> </w:t>
      </w:r>
      <w:r>
        <w:t xml:space="preserve">is not): the moderator shifts the position of the turning point but preserves the inverted-U shape. Type II moderation flips the shape of the curve (i.e.,</w:t>
      </w:r>
      <w:r>
        <w:t xml:space="preserve"> </w:t>
      </w:r>
      <m:oMath>
        <m:sSup>
          <m:e>
            <m:r>
              <m:rPr>
                <m:nor/>
                <m:sty m:val="p"/>
              </m:rPr>
              <m:t>FSTS</m:t>
            </m:r>
          </m:e>
          <m:sup>
            <m:r>
              <m:t>2</m:t>
            </m:r>
          </m:sup>
        </m:sSup>
        <m:r>
          <m:rPr>
            <m:sty m:val="p"/>
          </m:rPr>
          <m:t>×</m:t>
        </m:r>
        <m:r>
          <m:rPr>
            <m:nor/>
            <m:sty m:val="p"/>
          </m:rPr>
          <m:t>DAI</m:t>
        </m:r>
      </m:oMath>
      <w:r>
        <w:t xml:space="preserve"> </w:t>
      </w:r>
      <w:r>
        <w:t xml:space="preserve">is significant): high versus low moderator values produce qualitatively different functional forms. The 2023 DAI evidence fits Type I: the significant linear interaction</w:t>
      </w:r>
      <w:r>
        <w:t xml:space="preserve"> </w:t>
      </w:r>
      <m:oMath>
        <m:sSub>
          <m:e>
            <m:r>
              <m:rPr>
                <m:nor/>
                <m:sty m:val="p"/>
              </m:rPr>
              <m:t>FSTS</m:t>
            </m:r>
          </m:e>
          <m:sub>
            <m:r>
              <m:t>c</m:t>
            </m:r>
          </m:sub>
        </m:sSub>
        <m:r>
          <m:rPr>
            <m:sty m:val="p"/>
          </m:rPr>
          <m:t>×</m:t>
        </m:r>
        <m:sSub>
          <m:e>
            <m:r>
              <m:rPr>
                <m:nor/>
                <m:sty m:val="p"/>
              </m:rPr>
              <m:t>DAI</m:t>
            </m:r>
          </m:e>
          <m:sub>
            <m:r>
              <m:t>z</m:t>
            </m:r>
          </m:sub>
        </m:sSub>
      </m:oMath>
      <w:r>
        <w:t xml:space="preserve"> </w:t>
      </w:r>
      <w:r>
        <w:t xml:space="preserve">= −0.912 (p =.043) indicates that digital adoption attenuates the positive slope at low export intensity, pulling the turning point inward, while the</w:t>
      </w:r>
      <w:r>
        <w:t xml:space="preserve"> </w:t>
      </w:r>
      <m:oMath>
        <m:sSup>
          <m:e>
            <m:r>
              <m:rPr>
                <m:nor/>
                <m:sty m:val="p"/>
              </m:rPr>
              <m:t>FSTS</m:t>
            </m:r>
          </m:e>
          <m:sup>
            <m:r>
              <m:t>2</m:t>
            </m:r>
          </m:sup>
        </m:sSup>
        <m:r>
          <m:rPr>
            <m:sty m:val="p"/>
          </m:rPr>
          <m:t>×</m:t>
        </m:r>
        <m:r>
          <m:rPr>
            <m:nor/>
            <m:sty m:val="p"/>
          </m:rPr>
          <m:t>DAI</m:t>
        </m:r>
      </m:oMath>
      <w:r>
        <w:t xml:space="preserve"> </w:t>
      </w:r>
      <w:r>
        <w:t xml:space="preserve">interaction remains insignificant, confirming that the inverted-U shape is preserved. Type II moderation, digital capability reversing the curvature for high-adopter firms, is not supported in the Vietnam sample.</w:t>
      </w:r>
    </w:p>
    <w:p>
      <w:pPr>
        <w:pStyle w:val="CaptionedFigure"/>
      </w:pPr>
      <w:r>
        <w:drawing>
          <wp:inline>
            <wp:extent cx="5334000" cy="2226365"/>
            <wp:effectExtent b="0" l="0" r="0" t="0"/>
            <wp:docPr descr="Figure 3: Moderator marginal effects, TCI and DAI interactions with FSTS (Vietnam)" title="" id="58" name="Picture"/>
            <a:graphic>
              <a:graphicData uri="http://schemas.openxmlformats.org/drawingml/2006/picture">
                <pic:pic>
                  <pic:nvPicPr>
                    <pic:cNvPr descr="figures/vietnam/figure_3_moderator_marginals.png" id="59" name="Picture"/>
                    <pic:cNvPicPr>
                      <a:picLocks noChangeArrowheads="1" noChangeAspect="1"/>
                    </pic:cNvPicPr>
                  </pic:nvPicPr>
                  <pic:blipFill>
                    <a:blip r:embed="rId57"/>
                    <a:stretch>
                      <a:fillRect/>
                    </a:stretch>
                  </pic:blipFill>
                  <pic:spPr bwMode="auto">
                    <a:xfrm>
                      <a:off x="0" y="0"/>
                      <a:ext cx="5334000" cy="2226365"/>
                    </a:xfrm>
                    <a:prstGeom prst="rect">
                      <a:avLst/>
                    </a:prstGeom>
                    <a:noFill/>
                    <a:ln w="9525">
                      <a:noFill/>
                      <a:headEnd/>
                      <a:tailEnd/>
                    </a:ln>
                  </pic:spPr>
                </pic:pic>
              </a:graphicData>
            </a:graphic>
          </wp:inline>
        </w:drawing>
      </w:r>
    </w:p>
    <w:p>
      <w:pPr>
        <w:pStyle w:val="ImageCaption"/>
      </w:pPr>
      <w:r>
        <w:t xml:space="preserve">Figure 3: Moderator marginal effects, TCI and DAI interactions with FSTS (Vietnam)</w:t>
      </w:r>
    </w:p>
    <w:p>
      <w:pPr>
        <w:pStyle w:val="BodyText"/>
      </w:pPr>
      <w:r>
        <w:rPr>
          <w:iCs/>
          <w:i/>
        </w:rPr>
        <w:t xml:space="preserve">Figure 3.</w:t>
      </w:r>
      <w:r>
        <w:t xml:space="preserve"> </w:t>
      </w:r>
      <w:r>
        <w:t xml:space="preserve">Marginal effects of</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on ln(labour productivity) across FSTS levels (M7/M8). TCI shows a stable positive level-shift across waves; DAI moderation is wave-specific, with the 2023 interaction showing attenuation at high FSTS (Type I moderation: slope-flattening, shape preserved).</w:t>
      </w:r>
    </w:p>
    <w:bookmarkEnd w:id="60"/>
    <w:bookmarkStart w:id="61" w:name="Xb291580f68ecbaffbae7f118c1126c458395149"/>
    <w:p>
      <w:pPr>
        <w:pStyle w:val="Heading3"/>
      </w:pPr>
      <w:r>
        <w:t xml:space="preserve">4.4 Main empirical pattern: participation</w:t>
      </w:r>
      <w:r>
        <w:t xml:space="preserve"> </w:t>
      </w:r>
      <m:oMath>
        <m:r>
          <m:rPr>
            <m:sty m:val="p"/>
          </m:rPr>
          <m:t>×</m:t>
        </m:r>
      </m:oMath>
      <w:r>
        <w:t xml:space="preserve"> </w:t>
      </w:r>
      <w:r>
        <w:t xml:space="preserve">intensity</w:t>
      </w:r>
    </w:p>
    <w:p>
      <w:pPr>
        <w:pStyle w:val="FirstParagraph"/>
      </w:pPr>
      <w:r>
        <w:t xml:space="preserve">Before reading the table that follows, this study anchors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w:t>
      </w:r>
      <w:r>
        <w:t xml:space="preserve">$5 percentage-points of the wave-specific turning points (see</w:t>
      </w:r>
      <w:r>
        <w:t xml:space="preserve"> </w:t>
      </w:r>
      <w:r>
        <w:t xml:space="preserve">4.5 density check), and the bulk of mass lies at FSTS = 0. When the analysis re-fits M2 / M7 / M8 on</w:t>
      </w:r>
      <w:r>
        <w:t xml:space="preserve"> </w:t>
      </w:r>
      <w:r>
        <w:t xml:space="preserve">the exporter-only sub-sample (FSTS &gt; 0; pooled N = 669, 4.5 Panel H), the linear</w:t>
      </w:r>
      <w:r>
        <w:t xml:space="preserve"> </w:t>
      </w:r>
      <m:oMath>
        <m:sSub>
          <m:e>
            <m:r>
              <m:rPr>
                <m:nor/>
                <m:sty m:val="p"/>
              </m:rPr>
              <m:t>FSTS</m:t>
            </m:r>
          </m:e>
          <m:sub>
            <m:r>
              <m:t>c</m:t>
            </m:r>
          </m:sub>
        </m:sSub>
      </m:oMath>
      <w:r>
        <w:t xml:space="preserve"> </w:t>
      </w:r>
      <w:r>
        <w:t xml:space="preserve">term is negative (</w:t>
      </w:r>
      <m:oMath>
        <m:r>
          <m:t>β</m:t>
        </m:r>
      </m:oMath>
      <w:r>
        <w:t xml:space="preserve"> </w:t>
      </w:r>
      <w:r>
        <w:t xml:space="preserve">= -0.861, p &lt;.001) but the quadratic term is not significant (</w:t>
      </w:r>
      <m:oMath>
        <m:sSubSup>
          <m:e>
            <m:r>
              <m:rPr>
                <m:nor/>
                <m:sty m:val="p"/>
              </m:rPr>
              <m:t>FSTS</m:t>
            </m:r>
          </m:e>
          <m:sub>
            <m:r>
              <m:t>c</m:t>
            </m:r>
          </m:sub>
          <m:sup>
            <m:r>
              <m:t>2</m:t>
            </m:r>
          </m:sup>
        </m:sSubSup>
      </m:oMath>
      <w:r>
        <w:t xml:space="preserve"> </w:t>
      </w:r>
      <m:oMath>
        <m:r>
          <m:t>β</m:t>
        </m:r>
      </m:oMath>
      <w:r>
        <w:t xml:space="preserve"> </w:t>
      </w:r>
      <w:r>
        <w:t xml:space="preserve">= -0.200, p =.660, M8 joint p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This study retains the full-sample inverted-U as the primary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w:t>
      </w:r>
      <w:r>
        <w:t xml:space="preserve"> </w:t>
      </w:r>
      <m:oMath>
        <m:r>
          <m:rPr>
            <m:sty m:val="p"/>
          </m:rPr>
          <m:t>×</m:t>
        </m:r>
      </m:oMath>
      <w:r>
        <w:t xml:space="preserve"> </w:t>
      </w:r>
      <w:r>
        <w:t xml:space="preserve">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1"/>
    <w:bookmarkStart w:id="63" w:name="robustness"/>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w:t>
      </w:r>
      <m:oMath>
        <m:sSub>
          <m:e>
            <m:r>
              <m:rPr>
                <m:nor/>
                <m:sty m:val="p"/>
              </m:rPr>
              <m:t>FSTS</m:t>
            </m:r>
          </m:e>
          <m:sub>
            <m:r>
              <m:t>c</m:t>
            </m:r>
          </m:sub>
        </m:sSub>
      </m:oMath>
      <w:r>
        <w:t xml:space="preserve"> </w:t>
      </w:r>
      <m:oMath>
        <m:r>
          <m:t>β</m:t>
        </m:r>
      </m:oMath>
      <w:r>
        <w:t xml:space="preserve"> </w:t>
      </w:r>
      <w:r>
        <w:t xml:space="preserve">= 0.971, p =.001;</w:t>
      </w:r>
      <w:r>
        <w:t xml:space="preserve"> </w:t>
      </w:r>
      <m:oMath>
        <m:sSubSup>
          <m:e>
            <m:r>
              <m:rPr>
                <m:nor/>
                <m:sty m:val="p"/>
              </m:rPr>
              <m:t>FSTS</m:t>
            </m:r>
          </m:e>
          <m:sub>
            <m:r>
              <m:t>c</m:t>
            </m:r>
          </m:sub>
          <m:sup>
            <m:r>
              <m:t>2</m:t>
            </m:r>
          </m:sup>
        </m:sSubSup>
      </m:oMath>
      <w:r>
        <w:t xml:space="preserve"> </w:t>
      </w:r>
      <m:oMath>
        <m:r>
          <m:t>β</m:t>
        </m:r>
      </m:oMath>
      <w:r>
        <w:t xml:space="preserve"> </w:t>
      </w:r>
      <w:r>
        <w:t xml:space="preserve">= -1.883, p &lt;.001) than in non-manufacturing (</w:t>
      </w:r>
      <m:oMath>
        <m:sSub>
          <m:e>
            <m:r>
              <m:rPr>
                <m:nor/>
                <m:sty m:val="p"/>
              </m:rPr>
              <m:t>FSTS</m:t>
            </m:r>
          </m:e>
          <m:sub>
            <m:r>
              <m:t>c</m:t>
            </m:r>
          </m:sub>
        </m:sSub>
      </m:oMath>
      <w:r>
        <w:t xml:space="preserve"> </w:t>
      </w:r>
      <m:oMath>
        <m:r>
          <m:t>β</m:t>
        </m:r>
      </m:oMath>
      <w:r>
        <w:t xml:space="preserve"> </w:t>
      </w:r>
      <w:r>
        <w:t xml:space="preserve">= 1.615, p =.064, marginal;</w:t>
      </w:r>
      <w:r>
        <w:t xml:space="preserve"> </w:t>
      </w:r>
      <m:oMath>
        <m:sSubSup>
          <m:e>
            <m:r>
              <m:rPr>
                <m:nor/>
                <m:sty m:val="p"/>
              </m:rPr>
              <m:t>FSTS</m:t>
            </m:r>
          </m:e>
          <m:sub>
            <m:r>
              <m:t>c</m:t>
            </m:r>
          </m:sub>
          <m:sup>
            <m:r>
              <m:t>2</m:t>
            </m:r>
          </m:sup>
        </m:sSubSup>
      </m:oMath>
      <w:r>
        <w:t xml:space="preserve"> </w:t>
      </w:r>
      <m:oMath>
        <m:r>
          <m:t>β</m:t>
        </m:r>
      </m:oMath>
      <w:r>
        <w:t xml:space="preserve"> </w:t>
      </w:r>
      <w:r>
        <w:t xml:space="preserve">= -2.479, p =.046). More substantively, the capability and digital-adoption channels operate primarily in manufacturing. In the M7 dual-direct specification, manufacturing firms display a strong</w:t>
      </w:r>
      <w:r>
        <w:t xml:space="preserve"> </w:t>
      </w:r>
      <m:oMath>
        <m:sSub>
          <m:e>
            <m:r>
              <m:rPr>
                <m:nor/>
                <m:sty m:val="p"/>
              </m:rPr>
              <m:t>TCI</m:t>
            </m:r>
          </m:e>
          <m:sub>
            <m:r>
              <m:t>z</m:t>
            </m:r>
          </m:sub>
        </m:sSub>
      </m:oMath>
      <w:r>
        <w:t xml:space="preserve"> </w:t>
      </w:r>
      <w:r>
        <w:t xml:space="preserve">direct association (</w:t>
      </w:r>
      <m:oMath>
        <m:r>
          <m:t>β</m:t>
        </m:r>
      </m:oMath>
      <w:r>
        <w:t xml:space="preserve"> </w:t>
      </w:r>
      <w:r>
        <w:t xml:space="preserve">= 0.223, p &lt;.001) and a positive</w:t>
      </w:r>
      <w:r>
        <w:t xml:space="preserve"> </w:t>
      </w:r>
      <m:oMath>
        <m:sSub>
          <m:e>
            <m:r>
              <m:rPr>
                <m:nor/>
                <m:sty m:val="p"/>
              </m:rPr>
              <m:t>DAI</m:t>
            </m:r>
          </m:e>
          <m:sub>
            <m:r>
              <m:t>z</m:t>
            </m:r>
          </m:sub>
        </m:sSub>
      </m:oMath>
      <w:r>
        <w:t xml:space="preserve"> </w:t>
      </w:r>
      <w:r>
        <w:t xml:space="preserve">direct association (</w:t>
      </w:r>
      <m:oMath>
        <m:r>
          <m:t>β</m:t>
        </m:r>
      </m:oMath>
      <w:r>
        <w:t xml:space="preserve"> </w:t>
      </w:r>
      <w:r>
        <w:t xml:space="preserve">= 0.087,</w:t>
      </w:r>
      <w:r>
        <w:t xml:space="preserve"> </w:t>
      </w:r>
      <w:r>
        <w:t xml:space="preserve">p =.009), while non-manufacturing firms show only a marginal</w:t>
      </w:r>
      <w:r>
        <w:t xml:space="preserve"> </w:t>
      </w:r>
      <m:oMath>
        <m:sSub>
          <m:e>
            <m:r>
              <m:rPr>
                <m:nor/>
                <m:sty m:val="p"/>
              </m:rPr>
              <m:t>TCI</m:t>
            </m:r>
          </m:e>
          <m:sub>
            <m:r>
              <m:t>z</m:t>
            </m:r>
          </m:sub>
        </m:sSub>
      </m:oMath>
      <w:r>
        <w:t xml:space="preserve"> </w:t>
      </w:r>
      <w:r>
        <w:t xml:space="preserve">effect (</w:t>
      </w:r>
      <m:oMath>
        <m:r>
          <m:t>β</m:t>
        </m:r>
      </m:oMath>
      <w:r>
        <w:t xml:space="preserve"> </w:t>
      </w:r>
      <w:r>
        <w:t xml:space="preserve">= 0.090, p =</w:t>
      </w:r>
      <w:r>
        <w:t xml:space="preserve"> </w:t>
      </w:r>
      <w:r>
        <w:t xml:space="preserve">.096) and a null</w:t>
      </w:r>
      <w:r>
        <w:t xml:space="preserve"> </w:t>
      </w:r>
      <m:oMath>
        <m:sSub>
          <m:e>
            <m:r>
              <m:rPr>
                <m:nor/>
                <m:sty m:val="p"/>
              </m:rPr>
              <m:t>DAI</m:t>
            </m:r>
          </m:e>
          <m:sub>
            <m:r>
              <m:t>z</m:t>
            </m:r>
          </m:sub>
        </m:sSub>
      </m:oMath>
      <w:r>
        <w:t xml:space="preserve"> </w:t>
      </w:r>
      <w:r>
        <w:t xml:space="preserve">effect (</w:t>
      </w:r>
      <m:oMath>
        <m:r>
          <m:t>β</m:t>
        </m:r>
      </m:oMath>
      <w:r>
        <w:t xml:space="preserve"> </w:t>
      </w:r>
      <w:r>
        <w:t xml:space="preserve">= 0.068, p =.133). The DAI moderation channel is concentrated in manufacturing (M8 joint p =.103, marginal;</w:t>
      </w:r>
      <w:r>
        <w:t xml:space="preserve"> </w:t>
      </w:r>
      <m:oMath>
        <m:sSub>
          <m:e>
            <m:r>
              <m:rPr>
                <m:nor/>
                <m:sty m:val="p"/>
              </m:rPr>
              <m:t>FSTS</m:t>
            </m:r>
          </m:e>
          <m:sub>
            <m:r>
              <m:t>c</m:t>
            </m:r>
          </m:sub>
        </m:sSub>
        <m:r>
          <m:rPr>
            <m:sty m:val="p"/>
          </m:rPr>
          <m:t>×</m:t>
        </m:r>
        <m:sSub>
          <m:e>
            <m:r>
              <m:rPr>
                <m:nor/>
                <m:sty m:val="p"/>
              </m:rPr>
              <m:t>DAI</m:t>
            </m:r>
          </m:e>
          <m:sub>
            <m:r>
              <m:t>z</m:t>
            </m:r>
          </m:sub>
        </m:sSub>
      </m:oMath>
      <w:r>
        <w:t xml:space="preserve"> </w:t>
      </w:r>
      <w:r>
        <w:t xml:space="preserve">= -0.543, p =.079)</w:t>
      </w:r>
      <w:r>
        <w:t xml:space="preserve"> </w:t>
      </w:r>
      <w:r>
        <w:t xml:space="preserve">and is uniformly null in non-manufacturing (M8 joint p =.280). TCI moderation, by contrast,</w:t>
      </w:r>
      <w:r>
        <w:t xml:space="preserve"> </w:t>
      </w:r>
      <w:r>
        <w:t xml:space="preserve">is statistically distinguishable from zero in both subsets (M3 joint p =.011 in manufacturing</w:t>
      </w:r>
      <w:r>
        <w:t xml:space="preserve"> </w:t>
      </w:r>
      <w:r>
        <w:t xml:space="preserve">and p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The analysis re-fits M2 / M7 / M8 on the</w:t>
      </w:r>
      <w:r>
        <w:t xml:space="preserve"> </w:t>
      </w:r>
      <w:r>
        <w:t xml:space="preserve">exporter-only sub-sample (N</w:t>
      </w:r>
      <w:r>
        <w:t xml:space="preserve"> </w:t>
      </w:r>
      <m:oMath>
        <m:r>
          <m:rPr>
            <m:sty m:val="p"/>
          </m:rPr>
          <m:t>≈</m:t>
        </m:r>
      </m:oMath>
      <w:r>
        <w:t xml:space="preserve"> </w:t>
      </w:r>
      <w:r>
        <w:t xml:space="preserve">281 in 2009, 198 in 2015, 190 in 2023, and 669 pooled). The</w:t>
      </w:r>
      <w:r>
        <w:t xml:space="preserve"> </w:t>
      </w:r>
      <w:r>
        <w:t xml:space="preserve">pooled exporter-only specification yields a negative linear</w:t>
      </w:r>
      <w:r>
        <w:t xml:space="preserve"> </w:t>
      </w:r>
      <m:oMath>
        <m:sSub>
          <m:e>
            <m:r>
              <m:rPr>
                <m:nor/>
                <m:sty m:val="p"/>
              </m:rPr>
              <m:t>FSTS</m:t>
            </m:r>
          </m:e>
          <m:sub>
            <m:r>
              <m:t>c</m:t>
            </m:r>
          </m:sub>
        </m:sSub>
      </m:oMath>
      <w:r>
        <w:t xml:space="preserve"> </w:t>
      </w:r>
      <w:r>
        <w:t xml:space="preserve">term (</w:t>
      </w:r>
      <m:oMath>
        <m:r>
          <m:t>β</m:t>
        </m:r>
      </m:oMath>
      <w:r>
        <w:t xml:space="preserve"> </w:t>
      </w:r>
      <w:r>
        <w:t xml:space="preserve">= -0.861, p &lt;.001)</w:t>
      </w:r>
      <w:r>
        <w:t xml:space="preserve"> </w:t>
      </w:r>
      <w:r>
        <w:t xml:space="preserve">but a non-significant quadratic term (</w:t>
      </w:r>
      <m:oMath>
        <m:sSubSup>
          <m:e>
            <m:r>
              <m:rPr>
                <m:nor/>
                <m:sty m:val="p"/>
              </m:rPr>
              <m:t>FSTS</m:t>
            </m:r>
          </m:e>
          <m:sub>
            <m:r>
              <m:t>c</m:t>
            </m:r>
          </m:sub>
          <m:sup>
            <m:r>
              <m:t>2</m:t>
            </m:r>
          </m:sup>
        </m:sSubSup>
      </m:oMath>
      <w:r>
        <w:t xml:space="preserve"> </w:t>
      </w:r>
      <m:oMath>
        <m:r>
          <m:t>β</m:t>
        </m:r>
      </m:oMath>
      <w:r>
        <w:t xml:space="preserve"> </w:t>
      </w:r>
      <w:r>
        <w:t xml:space="preserve">= -0.200, p =.660), and the joint M8 test of the curvature plus moderation block is not significant (joint F p =.462). The wave-specific exporteronly estimates are similarly noisier and individually weaker than the full-sample counterparts.</w:t>
      </w:r>
      <w:r>
        <w:t xml:space="preserve"> </w:t>
      </w:r>
      <w:r>
        <w:t xml:space="preserve">This study reads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Pooled wave</w:t>
      </w:r>
      <w:r>
        <w:t xml:space="preserve"> </w:t>
      </w:r>
      <m:oMath>
        <m:r>
          <m:rPr>
            <m:sty m:val="p"/>
          </m:rPr>
          <m:t>×</m:t>
        </m:r>
      </m:oMath>
      <w:r>
        <w:t xml:space="preserve"> </w:t>
      </w:r>
      <w:r>
        <w:t xml:space="preserve">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w:t>
      </w:r>
      <m:oMath>
        <m:sSub>
          <m:e>
            <m:r>
              <m:rPr>
                <m:nor/>
                <m:sty m:val="p"/>
              </m:rPr>
              <m:t>FSTS</m:t>
            </m:r>
          </m:e>
          <m:sub>
            <m:r>
              <m:t>c</m:t>
            </m:r>
          </m:sub>
        </m:sSub>
      </m:oMath>
      <w:r>
        <w:t xml:space="preserve"> </w:t>
      </w:r>
      <m:oMath>
        <m:r>
          <m:rPr>
            <m:sty m:val="p"/>
          </m:rPr>
          <m:t>×</m:t>
        </m:r>
      </m:oMath>
      <w:r>
        <w:t xml:space="preserve"> </w:t>
      </w:r>
      <w:r>
        <w:t xml:space="preserve">wave,</w:t>
      </w:r>
      <w:r>
        <w:t xml:space="preserve"> </w:t>
      </w:r>
      <m:oMath>
        <m:sSubSup>
          <m:e>
            <m:r>
              <m:rPr>
                <m:nor/>
                <m:sty m:val="p"/>
              </m:rPr>
              <m:t>FSTS</m:t>
            </m:r>
          </m:e>
          <m:sub>
            <m:r>
              <m:t>c</m:t>
            </m:r>
          </m:sub>
          <m:sup>
            <m:r>
              <m:t>2</m:t>
            </m:r>
          </m:sup>
        </m:sSubSup>
      </m:oMath>
      <w:r>
        <w:t xml:space="preserve"> </w:t>
      </w:r>
      <m:oMath>
        <m:r>
          <m:rPr>
            <m:sty m:val="p"/>
          </m:rPr>
          <m:t>×</m:t>
        </m:r>
      </m:oMath>
      <w:r>
        <w:t xml:space="preserve"> </w:t>
      </w:r>
      <w:r>
        <w:t xml:space="preserve">wave,</w:t>
      </w:r>
      <w:r>
        <w:t xml:space="preserve"> </w:t>
      </w:r>
      <m:oMath>
        <m:sSub>
          <m:e>
            <m:r>
              <m:rPr>
                <m:nor/>
                <m:sty m:val="p"/>
              </m:rPr>
              <m:t>DAI</m:t>
            </m:r>
          </m:e>
          <m:sub>
            <m:r>
              <m:t>z</m:t>
            </m:r>
          </m:sub>
        </m:sSub>
      </m:oMath>
      <w:r>
        <w:t xml:space="preserve"> </w:t>
      </w:r>
      <m:oMath>
        <m:r>
          <m:rPr>
            <m:sty m:val="p"/>
          </m:rPr>
          <m:t>×</m:t>
        </m:r>
      </m:oMath>
      <w:r>
        <w:t xml:space="preserve"> </w:t>
      </w:r>
      <w:r>
        <w:t xml:space="preserve">wave,</w:t>
      </w:r>
      <w:r>
        <w:t xml:space="preserve"> </w:t>
      </w:r>
      <m:oMath>
        <m:sSub>
          <m:e>
            <m:r>
              <m:rPr>
                <m:nor/>
                <m:sty m:val="p"/>
              </m:rPr>
              <m:t>TCI</m:t>
            </m:r>
          </m:e>
          <m:sub>
            <m:r>
              <m:t>z</m:t>
            </m:r>
          </m:sub>
        </m:sSub>
      </m:oMath>
      <w:r>
        <w:t xml:space="preserve"> </w:t>
      </w:r>
      <m:oMath>
        <m:r>
          <m:rPr>
            <m:sty m:val="p"/>
          </m:rPr>
          <m:t>×</m:t>
        </m:r>
      </m:oMath>
      <w:r>
        <w:t xml:space="preserve"> </w:t>
      </w:r>
      <w:r>
        <w:t xml:space="preserve">wave). The joint Wald tests indicate that only</w:t>
      </w:r>
      <w:r>
        <w:t xml:space="preserve"> </w:t>
      </w:r>
      <m:oMath>
        <m:sSub>
          <m:e>
            <m:r>
              <m:rPr>
                <m:nor/>
                <m:sty m:val="p"/>
              </m:rPr>
              <m:t>DAI</m:t>
            </m:r>
          </m:e>
          <m:sub>
            <m:r>
              <m:t>z</m:t>
            </m:r>
          </m:sub>
        </m:sSub>
      </m:oMath>
      <w:r>
        <w:t xml:space="preserve"> </w:t>
      </w:r>
      <m:oMath>
        <m:r>
          <m:rPr>
            <m:sty m:val="p"/>
          </m:rPr>
          <m:t>×</m:t>
        </m:r>
      </m:oMath>
      <w:r>
        <w:t xml:space="preserve"> </w:t>
      </w:r>
      <w:r>
        <w:t xml:space="preserve">wave is statistically distinguishable from the pooled average (joint p =.016); the</w:t>
      </w:r>
      <w:r>
        <w:t xml:space="preserve"> </w:t>
      </w:r>
      <m:oMath>
        <m:sSub>
          <m:e>
            <m:r>
              <m:rPr>
                <m:nor/>
                <m:sty m:val="p"/>
              </m:rPr>
              <m:t>FSTS</m:t>
            </m:r>
          </m:e>
          <m:sub>
            <m:r>
              <m:t>c</m:t>
            </m:r>
          </m:sub>
        </m:sSub>
      </m:oMath>
      <w:r>
        <w:t xml:space="preserve">,</w:t>
      </w:r>
      <w:r>
        <w:t xml:space="preserve"> </w:t>
      </w:r>
      <m:oMath>
        <m:sSubSup>
          <m:e>
            <m:r>
              <m:rPr>
                <m:nor/>
                <m:sty m:val="p"/>
              </m:rPr>
              <m:t>FSTS</m:t>
            </m:r>
          </m:e>
          <m:sub>
            <m:r>
              <m:t>c</m:t>
            </m:r>
          </m:sub>
          <m:sup>
            <m:r>
              <m:t>2</m:t>
            </m:r>
          </m:sup>
        </m:sSubSup>
      </m:oMath>
      <w:r>
        <w:t xml:space="preserve"> </w:t>
      </w:r>
      <w:r>
        <w:t xml:space="preserve">and</w:t>
      </w:r>
      <w:r>
        <w:t xml:space="preserve"> </w:t>
      </w:r>
      <m:oMath>
        <m:sSub>
          <m:e>
            <m:r>
              <m:rPr>
                <m:nor/>
                <m:sty m:val="p"/>
              </m:rPr>
              <m:t>TCI</m:t>
            </m:r>
          </m:e>
          <m:sub>
            <m:r>
              <m:t>z</m:t>
            </m:r>
          </m:sub>
        </m:sSub>
      </m:oMath>
      <w:r>
        <w:t xml:space="preserve"> </w:t>
      </w:r>
      <w:r>
        <w:t xml:space="preserve">direct-effect cross-wave differences are not statistically separable (all joint p &gt;.25), and the</w:t>
      </w:r>
      <w:r>
        <w:t xml:space="preserve"> </w:t>
      </w:r>
      <m:oMath>
        <m:sSub>
          <m:e>
            <m:r>
              <m:rPr>
                <m:nor/>
                <m:sty m:val="p"/>
              </m:rPr>
              <m:t>FSTS</m:t>
            </m:r>
          </m:e>
          <m:sub>
            <m:r>
              <m:t>c</m:t>
            </m:r>
          </m:sub>
        </m:sSub>
        <m:r>
          <m:rPr>
            <m:sty m:val="p"/>
          </m:rPr>
          <m:t>×</m:t>
        </m:r>
        <m:sSub>
          <m:e>
            <m:r>
              <m:rPr>
                <m:nor/>
                <m:sty m:val="p"/>
              </m:rPr>
              <m:t>DAI</m:t>
            </m:r>
          </m:e>
          <m:sub>
            <m:r>
              <m:t>z</m:t>
            </m:r>
          </m:sub>
        </m:sSub>
      </m:oMath>
      <w:r>
        <w:t xml:space="preserve"> </w:t>
      </w:r>
      <w:r>
        <w:t xml:space="preserve">and</w:t>
      </w:r>
      <w:r>
        <w:t xml:space="preserve"> </w:t>
      </w:r>
      <m:oMath>
        <m:sSubSup>
          <m:e>
            <m:r>
              <m:rPr>
                <m:nor/>
                <m:sty m:val="p"/>
              </m:rPr>
              <m:t>FSTS</m:t>
            </m:r>
          </m:e>
          <m:sub>
            <m:r>
              <m:t>c</m:t>
            </m:r>
          </m:sub>
          <m:sup>
            <m:r>
              <m:t>2</m:t>
            </m:r>
          </m:sup>
        </m:sSubSup>
        <m:r>
          <m:rPr>
            <m:sty m:val="p"/>
          </m:rPr>
          <m:t>×</m:t>
        </m:r>
        <m:sSub>
          <m:e>
            <m:r>
              <m:rPr>
                <m:nor/>
                <m:sty m:val="p"/>
              </m:rPr>
              <m:t>DAI</m:t>
            </m:r>
          </m:e>
          <m:sub>
            <m:r>
              <m:t>z</m:t>
            </m:r>
          </m:sub>
        </m:sSub>
      </m:oMath>
      <w:r>
        <w:t xml:space="preserve"> </w:t>
      </w:r>
      <w:r>
        <w:t xml:space="preserve">cross-wave differences are not separable either (joint p &gt;.55).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w:t>
      </w:r>
      <w:r>
        <w:t xml:space="preserve"> </w:t>
      </w:r>
      <m:oMath>
        <m:r>
          <m:rPr>
            <m:nor/>
            <m:sty m:val="p"/>
          </m:rPr>
          <m:t>FSTS</m:t>
        </m:r>
        <m:r>
          <m:rPr>
            <m:sty m:val="p"/>
          </m:rPr>
          <m:t>×</m:t>
        </m:r>
        <m:r>
          <m:rPr>
            <m:nor/>
            <m:sty m:val="p"/>
          </m:rPr>
          <m:t>DAI</m:t>
        </m:r>
      </m:oMath>
      <w:r>
        <w:t xml:space="preserve"> </w:t>
      </w:r>
      <w:r>
        <w:t xml:space="preserve">moderation terms share a common pooled magnitude across waves.</w:t>
      </w:r>
      <w:r>
        <w:t xml:space="preserve"> </w:t>
      </w:r>
      <w:r>
        <w:t xml:space="preserve">Functional form check, cubic extension. To test whether an S-curve (cubic) specification better captures the I–P pattern, this study augments the pooled M2 with a cubic term</w:t>
      </w:r>
      <w:r>
        <w:t xml:space="preserve"> </w:t>
      </w:r>
      <m:oMath>
        <m:sSubSup>
          <m:e>
            <m:r>
              <m:rPr>
                <m:nor/>
                <m:sty m:val="p"/>
              </m:rPr>
              <m:t>FSTS</m:t>
            </m:r>
          </m:e>
          <m:sub>
            <m:r>
              <m:t>c</m:t>
            </m:r>
          </m:sub>
          <m:sup>
            <m:r>
              <m:t>3</m:t>
            </m:r>
          </m:sup>
        </m:sSubSup>
      </m:oMath>
      <w:r>
        <w:t xml:space="preserve">. The cubic coefficient is not statistically significant (</w:t>
      </w:r>
      <m:oMath>
        <m:r>
          <m:t>β</m:t>
        </m:r>
      </m:oMath>
      <w:r>
        <w:t xml:space="preserve"> </w:t>
      </w:r>
      <w:r>
        <w:t xml:space="preserve">= −1.763, p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This study also report the within-sample mass of firms in the curvature zone. Defining a $</w:t>
      </w:r>
      <w:r>
        <w:t xml:space="preserve">$5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2"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consistent with servicification of the economy and the gradual exit of marginal exporters, which itself attenuates the threat of a constant positive-selection story across waves. A Heckman two-stage check confirms this reading: Heckman two-step corrections (Panel E) yield insignificant inverse-Mills ratios across all waves (all |</w:t>
      </w:r>
      <m:oMath>
        <m:r>
          <m:t>λ</m:t>
        </m:r>
      </m:oMath>
      <w:r>
        <w:t xml:space="preserve">| &lt; 0.84, p &gt;.25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Section 4.4 reflects a genuine performance discontinuity rather than an artefact of positive selection into exporting. Propensity-score matching (Panel J) corroborates the average H2 TCI association and the baseline</w:t>
      </w:r>
      <w:r>
        <w:t xml:space="preserve"> </w:t>
      </w:r>
      <m:oMath>
        <m:sSub>
          <m:e>
            <m:r>
              <m:rPr>
                <m:nor/>
                <m:sty m:val="p"/>
              </m:rPr>
              <m:t>DAI</m:t>
            </m:r>
          </m:e>
          <m:sub>
            <m:r>
              <m:t>z</m:t>
            </m:r>
          </m:sub>
        </m:sSub>
      </m:oMath>
      <w:r>
        <w:t xml:space="preserve"> </w:t>
      </w:r>
      <w:r>
        <w:t xml:space="preserve">level association without imposing linearity: ATT estimates for foreign-technology / certification status (0.609–0.637, p &lt;.001) and for website ownership (0.298–0.321, p &lt;.001)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w:t>
      </w:r>
      <w:r>
        <w:t xml:space="preserve"> </w:t>
      </w:r>
      <m:oMath>
        <m:r>
          <m:rPr>
            <m:sty m:val="p"/>
          </m:rPr>
          <m:t>×</m:t>
        </m:r>
      </m:oMath>
      <w:r>
        <w:t xml:space="preserve"> </w:t>
      </w:r>
      <w:r>
        <w:t xml:space="preserve">region</w:t>
      </w:r>
      <w:r>
        <w:t xml:space="preserve"> </w:t>
      </w:r>
      <m:oMath>
        <m:r>
          <m:rPr>
            <m:sty m:val="p"/>
          </m:rPr>
          <m:t>×</m:t>
        </m:r>
      </m:oMath>
      <w:r>
        <w:t xml:space="preserve"> </w:t>
      </w:r>
      <w:r>
        <w:t xml:space="preserve">wave peer-adoption rates as instruments (Panel K; first-stage F-statistics 22–35, well above the Staiger–Stock threshold) returns an instrumented DAI estimate of 0.018 (p =.942) and an instrumented TCI estimate of 1.639 (p &lt;.001). The null 2SLS DAI coefficient is a key robustness result: it indicates that website presence does not plausibly cause productivity improvements in 2023 Vietnam, reinforcing the Tier 1 proxy obsolescence interpretation of the negative</w:t>
      </w:r>
      <w:r>
        <w:t xml:space="preserve"> </w:t>
      </w:r>
      <m:oMath>
        <m:r>
          <m:rPr>
            <m:nor/>
            <m:sty m:val="p"/>
          </m:rPr>
          <m:t>DAI</m:t>
        </m:r>
        <m:r>
          <m:rPr>
            <m:sty m:val="p"/>
          </m:rPr>
          <m:t>×</m:t>
        </m:r>
        <m:r>
          <m:rPr>
            <m:nor/>
            <m:sty m:val="p"/>
          </m:rPr>
          <m:t>FSTS</m:t>
        </m:r>
      </m:oMath>
      <w:r>
        <w:t xml:space="preserve"> </w:t>
      </w:r>
      <w:r>
        <w:t xml:space="preserve">interaction. The strongly positive instrumented TCI coefficient (</w:t>
      </w:r>
      <m:oMath>
        <m:r>
          <m:t>β</m:t>
        </m:r>
      </m:oMath>
      <w:r>
        <w:t xml:space="preserve">=1.639, p&lt;.001, substantially larger than the OLS estimate, consistent with attenuation-bias correction) further indicates that foreign-technology and standards capability is the robust productivity-relevant mechanism in this institutional setting. The instrument set (peer-adoption rates within sector</w:t>
      </w:r>
      <w:r>
        <w:t xml:space="preserve"> </w:t>
      </w:r>
      <m:oMath>
        <m:r>
          <m:rPr>
            <m:sty m:val="p"/>
          </m:rPr>
          <m:t>×</m:t>
        </m:r>
      </m:oMath>
      <w:r>
        <w:t xml:space="preserve"> </w:t>
      </w:r>
      <w:r>
        <w:t xml:space="preserve">region</w:t>
      </w:r>
      <w:r>
        <w:t xml:space="preserve"> </w:t>
      </w:r>
      <m:oMath>
        <m:r>
          <m:rPr>
            <m:sty m:val="p"/>
          </m:rPr>
          <m:t>×</m:t>
        </m:r>
      </m:oMath>
      <w:r>
        <w:t xml:space="preserve"> </w:t>
      </w:r>
      <w:r>
        <w:t xml:space="preserve">wave cells) satisfies relevance (strong first stage) and approximate exclusion (peer-adoption rates are unlikely to affect individual firm productivity through channels other than DAI adoption, conditional on sector-wave cells). Oster (2019) δ-stability bounds (assuming R_max = 1.3</w:t>
      </w:r>
      <w:r>
        <w:t xml:space="preserve"> </w:t>
      </w:r>
      <m:oMath>
        <m:r>
          <m:rPr>
            <m:sty m:val="p"/>
          </m:rPr>
          <m:t>×</m:t>
        </m:r>
      </m:oMath>
      <w:r>
        <w:t xml:space="preserve"> </w:t>
      </w:r>
      <w:r>
        <w:t xml:space="preserve">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w:t>
      </w:r>
      <w:r>
        <w:t xml:space="preserve"> </w:t>
      </w:r>
      <m:oMath>
        <m:sSub>
          <m:e>
            <m:r>
              <m:rPr>
                <m:nor/>
                <m:sty m:val="p"/>
              </m:rPr>
              <m:t>DAI</m:t>
            </m:r>
          </m:e>
          <m:sub>
            <m:r>
              <m:t>r</m:t>
            </m:r>
          </m:sub>
        </m:sSub>
      </m:oMath>
      <w:r>
        <w:t xml:space="preserve">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This study does not apply a formal multiple-testing correction because the panels probe different identification concerns rather than testing the same hypothesis repeatedly, but readers should weight any single marginal panel result accordingly. The substantive inferences in Section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w:t>
      </w:r>
      <w:r>
        <w:t xml:space="preserve"> </w:t>
      </w:r>
      <m:oMath>
        <m:sSub>
          <m:e>
            <m:r>
              <m:rPr>
                <m:nor/>
                <m:sty m:val="p"/>
              </m:rPr>
              <m:t>TCI</m:t>
            </m:r>
          </m:e>
          <m:sub>
            <m:r>
              <m:t>f</m:t>
            </m:r>
          </m:sub>
        </m:sSub>
      </m:oMath>
      <w:r>
        <w:t xml:space="preserve">ull = broader TCI composite;</w:t>
      </w:r>
      <w:r>
        <w:t xml:space="preserve"> </w:t>
      </w:r>
      <m:oMath>
        <m:sSub>
          <m:e>
            <m:r>
              <m:rPr>
                <m:nor/>
                <m:sty m:val="p"/>
              </m:rPr>
              <m:t>DAI</m:t>
            </m:r>
          </m:e>
          <m:sub>
            <m:r>
              <m:t>r</m:t>
            </m:r>
          </m:sub>
        </m:sSub>
      </m:oMath>
      <w:r>
        <w:t xml:space="preserve">ich = richer DAI composite (2023 only). HC1 robust standard errors. † p &lt;.10; * p &lt;.05; ** p &lt;.01; *** p &lt;.001.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w:t>
      </w:r>
      <w:r>
        <w:t xml:space="preserve"> </w:t>
      </w:r>
      <m:oMath>
        <m:sSub>
          <m:e>
            <m:r>
              <m:rPr>
                <m:nor/>
                <m:sty m:val="p"/>
              </m:rPr>
              <m:t>TCI</m:t>
            </m:r>
          </m:e>
          <m:sub>
            <m:r>
              <m:t>f</m:t>
            </m:r>
          </m:sub>
        </m:sSub>
      </m:oMath>
      <w:r>
        <w:t xml:space="preserve">ull direct (2015)</w:t>
      </w:r>
      <w:r>
        <w:t xml:space="preserve"> </w:t>
      </w:r>
      <w:r>
        <w:t xml:space="preserve">956</w:t>
      </w:r>
      <w:r>
        <w:t xml:space="preserve"> </w:t>
      </w:r>
      <m:oMath>
        <m:sSub>
          <m:e>
            <m:r>
              <m:rPr>
                <m:nor/>
                <m:sty m:val="p"/>
              </m:rPr>
              <m:t>TCI</m:t>
            </m:r>
          </m:e>
          <m:sub>
            <m:r>
              <m:t>f</m:t>
            </m:r>
          </m:sub>
        </m:sSub>
      </m:oMath>
      <w:r>
        <w:t xml:space="preserve">ull_z = 0.056 (p =.253) n.s.;</w:t>
      </w:r>
      <w:r>
        <w:t xml:space="preserve"> </w:t>
      </w:r>
      <m:oMath>
        <m:sSub>
          <m:e>
            <m:r>
              <m:rPr>
                <m:nor/>
                <m:sty m:val="p"/>
              </m:rPr>
              <m:t>DAI</m:t>
            </m:r>
          </m:e>
          <m:sub>
            <m:r>
              <m:t>z</m:t>
            </m:r>
          </m:sub>
        </m:sSub>
      </m:oMath>
      <w:r>
        <w:t xml:space="preserve"> </w:t>
      </w:r>
      <w:r>
        <w:t xml:space="preserve">= M3 joint p =.492 n.s.</w:t>
      </w:r>
      <w:r>
        <w:t xml:space="preserve"> </w:t>
      </w:r>
      <w:r>
        <w:t xml:space="preserve">−0.033 n.s.</w:t>
      </w:r>
      <w:r>
        <w:t xml:space="preserve"> </w:t>
      </w:r>
      <w:r>
        <w:t xml:space="preserve">A.</w:t>
      </w:r>
      <w:r>
        <w:t xml:space="preserve"> </w:t>
      </w:r>
      <m:oMath>
        <m:sSub>
          <m:e>
            <m:r>
              <m:rPr>
                <m:nor/>
                <m:sty m:val="p"/>
              </m:rPr>
              <m:t>TCI</m:t>
            </m:r>
          </m:e>
          <m:sub>
            <m:r>
              <m:t>f</m:t>
            </m:r>
          </m:sub>
        </m:sSub>
      </m:oMath>
      <w:r>
        <w:t xml:space="preserve">ull direct (2023)</w:t>
      </w:r>
      <w:r>
        <w:t xml:space="preserve"> </w:t>
      </w:r>
      <w:r>
        <w:t xml:space="preserve">1,013</w:t>
      </w:r>
      <w:r>
        <w:t xml:space="preserve"> </w:t>
      </w:r>
      <m:oMath>
        <m:sSub>
          <m:e>
            <m:r>
              <m:rPr>
                <m:nor/>
                <m:sty m:val="p"/>
              </m:rPr>
              <m:t>TCI</m:t>
            </m:r>
          </m:e>
          <m:sub>
            <m:r>
              <m:t>f</m:t>
            </m:r>
          </m:sub>
        </m:sSub>
      </m:oMath>
      <w:r>
        <w:t xml:space="preserve">ull_z = 0.096 (p =.024);</w:t>
      </w:r>
      <w:r>
        <w:t xml:space="preserve"> </w:t>
      </w:r>
      <m:oMath>
        <m:sSub>
          <m:e>
            <m:r>
              <m:rPr>
                <m:nor/>
                <m:sty m:val="p"/>
              </m:rPr>
              <m:t>DAI</m:t>
            </m:r>
          </m:e>
          <m:sub>
            <m:r>
              <m:t>z</m:t>
            </m:r>
          </m:sub>
        </m:sSub>
      </m:oMath>
      <w:r>
        <w:t xml:space="preserve"> </w:t>
      </w:r>
      <w:r>
        <w:t xml:space="preserve">= M3 joint p =.152 n.s.</w:t>
      </w:r>
      <w:r>
        <w:t xml:space="preserve"> </w:t>
      </w:r>
      <w:r>
        <w:t xml:space="preserve">0.097 (p =.037)</w:t>
      </w:r>
      <w:r>
        <w:t xml:space="preserve"> </w:t>
      </w:r>
      <w:r>
        <w:t xml:space="preserve">B.</w:t>
      </w:r>
      <w:r>
        <w:t xml:space="preserve"> </w:t>
      </w:r>
      <m:oMath>
        <m:sSub>
          <m:e>
            <m:r>
              <m:rPr>
                <m:nor/>
                <m:sty m:val="p"/>
              </m:rPr>
              <m:t>DAI</m:t>
            </m:r>
          </m:e>
          <m:sub>
            <m:r>
              <m:t>r</m:t>
            </m:r>
          </m:sub>
        </m:sSub>
      </m:oMath>
      <w:r>
        <w:t xml:space="preserve">ich continuous (2023)</w:t>
      </w:r>
      <w:r>
        <w:t xml:space="preserve"> </w:t>
      </w:r>
      <w:r>
        <w:t xml:space="preserve">1,013</w:t>
      </w:r>
      <w:r>
        <w:t xml:space="preserve"> </w:t>
      </w:r>
      <m:oMath>
        <m:sSub>
          <m:e>
            <m:r>
              <m:rPr>
                <m:nor/>
                <m:sty m:val="p"/>
              </m:rPr>
              <m:t>FSTS</m:t>
            </m:r>
          </m:e>
          <m:sub>
            <m:r>
              <m:t>c</m:t>
            </m:r>
          </m:sub>
        </m:sSub>
        <m:r>
          <m:rPr>
            <m:sty m:val="p"/>
          </m:rPr>
          <m:t>×</m:t>
        </m:r>
        <m:sSub>
          <m:e>
            <m:r>
              <m:rPr>
                <m:nor/>
                <m:sty m:val="p"/>
              </m:rPr>
              <m:t>DAI</m:t>
            </m:r>
          </m:e>
          <m:sub>
            <m:r>
              <m:t>r</m:t>
            </m:r>
          </m:sub>
        </m:sSub>
      </m:oMath>
      <w:r>
        <w:t xml:space="preserve">ich_cont_z = −0.933 † (p M8 joint p =.099 †</w:t>
      </w:r>
      <w:r>
        <w:t xml:space="preserve"> </w:t>
      </w:r>
      <w:r>
        <w:t xml:space="preserve">=.076)</w:t>
      </w:r>
      <w:r>
        <w:t xml:space="preserve"> </w:t>
      </w:r>
      <w:r>
        <w:t xml:space="preserve">B.</w:t>
      </w:r>
      <w:r>
        <w:t xml:space="preserve"> </w:t>
      </w:r>
      <m:oMath>
        <m:sSub>
          <m:e>
            <m:r>
              <m:rPr>
                <m:nor/>
                <m:sty m:val="p"/>
              </m:rPr>
              <m:t>DAI</m:t>
            </m:r>
          </m:e>
          <m:sub>
            <m:r>
              <m:t>r</m:t>
            </m:r>
          </m:sub>
        </m:sSub>
      </m:oMath>
      <w:r>
        <w:t xml:space="preserve">ich binary (2023)</w:t>
      </w:r>
      <w:r>
        <w:t xml:space="preserve"> </w:t>
      </w:r>
      <w:r>
        <w:t xml:space="preserve">1,013</w:t>
      </w:r>
      <w:r>
        <w:t xml:space="preserve"> </w:t>
      </w:r>
      <m:oMath>
        <m:sSub>
          <m:e>
            <m:r>
              <m:rPr>
                <m:nor/>
                <m:sty m:val="p"/>
              </m:rPr>
              <m:t>FSTS</m:t>
            </m:r>
          </m:e>
          <m:sub>
            <m:r>
              <m:t>c</m:t>
            </m:r>
          </m:sub>
        </m:sSub>
        <m:r>
          <m:rPr>
            <m:sty m:val="p"/>
          </m:rPr>
          <m:t>×</m:t>
        </m:r>
        <m:sSub>
          <m:e>
            <m:r>
              <m:rPr>
                <m:nor/>
                <m:sty m:val="p"/>
              </m:rPr>
              <m:t>DAI</m:t>
            </m:r>
          </m:e>
          <m:sub>
            <m:r>
              <m:t>r</m:t>
            </m:r>
          </m:sub>
        </m:sSub>
      </m:oMath>
      <w:r>
        <w:t xml:space="preserve">ich_bin_z = −0.893 (p = M8 joint p =.243 n.s.</w:t>
      </w:r>
      <w:r>
        <w:t xml:space="preserve"> </w:t>
      </w:r>
      <w:r>
        <w:t xml:space="preserve">.169) n.s.</w:t>
      </w:r>
      <w:r>
        <w:t xml:space="preserve"> </w:t>
      </w:r>
      <w:r>
        <w:t xml:space="preserve">C. Common-N reconciled (2023) 1,013</w:t>
      </w:r>
      <w:r>
        <w:t xml:space="preserve"> </w:t>
      </w:r>
      <m:oMath>
        <m:sSub>
          <m:e>
            <m:r>
              <m:rPr>
                <m:nor/>
                <m:sty m:val="p"/>
              </m:rPr>
              <m:t>DAI</m:t>
            </m:r>
          </m:e>
          <m:sub>
            <m:r>
              <m:t>z</m:t>
            </m:r>
          </m:sub>
        </m:sSub>
      </m:oMath>
      <w:r>
        <w:t xml:space="preserve"> </w:t>
      </w:r>
      <w:r>
        <w:t xml:space="preserve">moderation re-estimated on identical M8 joint p =.062 †</w:t>
      </w:r>
      <w:r>
        <w:t xml:space="preserve"> </w:t>
      </w:r>
      <w:r>
        <w:t xml:space="preserve">2023 sample</w:t>
      </w:r>
      <w:r>
        <w:t xml:space="preserve"> </w:t>
      </w:r>
      <w:r>
        <w:t xml:space="preserve">D. Micro-firm exclusion (l1</w:t>
      </w:r>
      <w:r>
        <w:t xml:space="preserve"> </w:t>
      </w:r>
      <m:oMath>
        <m:r>
          <m:rPr>
            <m:sty m:val="p"/>
          </m:rPr>
          <m:t>≥</m:t>
        </m:r>
      </m:oMath>
      <w:r>
        <w:t xml:space="preserve"> </w:t>
      </w:r>
      <w:r>
        <w:t xml:space="preserve">10) 2,473</w:t>
      </w:r>
      <w:r>
        <w:t xml:space="preserve"> </w:t>
      </w:r>
      <m:oMath>
        <m:sSub>
          <m:e>
            <m:r>
              <m:rPr>
                <m:nor/>
                <m:sty m:val="p"/>
              </m:rPr>
              <m:t>TCI</m:t>
            </m:r>
          </m:e>
          <m:sub>
            <m:r>
              <m:t>z</m:t>
            </m:r>
          </m:sub>
        </m:sSub>
      </m:oMath>
      <w:r>
        <w:t xml:space="preserve"> </w:t>
      </w:r>
      <w:r>
        <w:t xml:space="preserve">= 0.188 ;</w:t>
      </w:r>
      <w:r>
        <w:t xml:space="preserve"> </w:t>
      </w:r>
      <m:oMath>
        <m:sSub>
          <m:e>
            <m:r>
              <m:rPr>
                <m:nor/>
                <m:sty m:val="p"/>
              </m:rPr>
              <m:t>DAI</m:t>
            </m:r>
          </m:e>
          <m:sub>
            <m:r>
              <m:t>z</m:t>
            </m:r>
          </m:sub>
        </m:sSub>
      </m:oMath>
      <w:r>
        <w:t xml:space="preserve"> </w:t>
      </w:r>
      <w:r>
        <w:t xml:space="preserve">= 0.054 n.s.</w:t>
      </w:r>
      <w:r>
        <w:t xml:space="preserve"> </w:t>
      </w:r>
      <w:r>
        <w:t xml:space="preserve">M8 joint p =.167 n.s.</w:t>
      </w:r>
      <w:r>
        <w:t xml:space="preserve"> </w:t>
      </w:r>
      <w:r>
        <w:t xml:space="preserve">G. Manufacturing (sector1 1,854</w:t>
      </w:r>
      <w:r>
        <w:t xml:space="preserve"> </w:t>
      </w:r>
      <m:oMath>
        <m:sSub>
          <m:e>
            <m:r>
              <m:rPr>
                <m:nor/>
                <m:sty m:val="p"/>
              </m:rPr>
              <m:t>TCI</m:t>
            </m:r>
          </m:e>
          <m:sub>
            <m:r>
              <m:t>z</m:t>
            </m:r>
          </m:sub>
        </m:sSub>
      </m:oMath>
      <w:r>
        <w:t xml:space="preserve"> </w:t>
      </w:r>
      <w:r>
        <w:t xml:space="preserve">= 0.223 ;</w:t>
      </w:r>
      <w:r>
        <w:t xml:space="preserve"> </w:t>
      </w:r>
      <m:oMath>
        <m:sSub>
          <m:e>
            <m:r>
              <m:rPr>
                <m:nor/>
                <m:sty m:val="p"/>
              </m:rPr>
              <m:t>DAI</m:t>
            </m:r>
          </m:e>
          <m:sub>
            <m:r>
              <m:t>z</m:t>
            </m:r>
          </m:sub>
        </m:sSub>
      </m:oMath>
      <w:r>
        <w:t xml:space="preserve"> </w:t>
      </w:r>
      <w:r>
        <w:t xml:space="preserve">= 0.087 ; M8 joint p =.103 †</w:t>
      </w:r>
      <w:r>
        <w:t xml:space="preserve"> </w:t>
      </w:r>
      <w:r>
        <w:t xml:space="preserve">∈ {1, 2, 3})</w:t>
      </w:r>
      <w:r>
        <w:t xml:space="preserve"> </w:t>
      </w:r>
      <m:oMath>
        <m:sSub>
          <m:e>
            <m:r>
              <m:rPr>
                <m:nor/>
                <m:sty m:val="p"/>
              </m:rPr>
              <m:t>FSTS</m:t>
            </m:r>
          </m:e>
          <m:sub>
            <m:r>
              <m:t>c</m:t>
            </m:r>
          </m:sub>
        </m:sSub>
        <m:r>
          <m:rPr>
            <m:sty m:val="p"/>
          </m:rPr>
          <m:t>×</m:t>
        </m:r>
        <m:sSub>
          <m:e>
            <m:r>
              <m:rPr>
                <m:nor/>
                <m:sty m:val="p"/>
              </m:rPr>
              <m:t>DAI</m:t>
            </m:r>
          </m:e>
          <m:sub>
            <m:r>
              <m:t>z</m:t>
            </m:r>
          </m:sub>
        </m:sSub>
      </m:oMath>
      <w:r>
        <w:t xml:space="preserve"> </w:t>
      </w:r>
      <w:r>
        <w:t xml:space="preserve">= −0.543 †</w:t>
      </w:r>
      <w:r>
        <w:t xml:space="preserve"> </w:t>
      </w:r>
      <w:r>
        <w:t xml:space="preserve">H. Exporter-only (FSTS &gt; 0, 669</w:t>
      </w:r>
      <w:r>
        <w:t xml:space="preserve"> </w:t>
      </w:r>
      <m:oMath>
        <m:sSub>
          <m:e>
            <m:r>
              <m:rPr>
                <m:nor/>
                <m:sty m:val="p"/>
              </m:rPr>
              <m:t>FSTS</m:t>
            </m:r>
          </m:e>
          <m:sub>
            <m:r>
              <m:t>c</m:t>
            </m:r>
          </m:sub>
        </m:sSub>
      </m:oMath>
      <w:r>
        <w:t xml:space="preserve"> </w:t>
      </w:r>
      <w:r>
        <w:t xml:space="preserve">= −0.861 ;</w:t>
      </w:r>
      <w:r>
        <w:t xml:space="preserve"> </w:t>
      </w:r>
      <m:oMath>
        <m:sSubSup>
          <m:e>
            <m:r>
              <m:rPr>
                <m:nor/>
                <m:sty m:val="p"/>
              </m:rPr>
              <m:t>FSTS</m:t>
            </m:r>
          </m:e>
          <m:sub>
            <m:r>
              <m:t>c</m:t>
            </m:r>
          </m:sub>
          <m:sup>
            <m:r>
              <m:t>2</m:t>
            </m:r>
          </m:sup>
        </m:sSubSup>
      </m:oMath>
      <w:r>
        <w:t xml:space="preserve"> </w:t>
      </w:r>
      <w:r>
        <w:t xml:space="preserve">= −0.200 M8 joint p =.462 n.s.</w:t>
      </w:r>
      <w:r>
        <w:t xml:space="preserve"> </w:t>
      </w:r>
      <w:r>
        <w:t xml:space="preserve">pooled)</w:t>
      </w:r>
      <w:r>
        <w:t xml:space="preserve"> </w:t>
      </w:r>
      <w:r>
        <w:t xml:space="preserve">n.s.</w:t>
      </w:r>
      <w:r>
        <w:t xml:space="preserve"> </w:t>
      </w:r>
      <w:r>
        <w:t xml:space="preserve">I. Wave</w:t>
      </w:r>
      <w:r>
        <w:t xml:space="preserve"> </w:t>
      </w:r>
      <m:oMath>
        <m:r>
          <m:rPr>
            <m:sty m:val="p"/>
          </m:rPr>
          <m:t>×</m:t>
        </m:r>
      </m:oMath>
      <w:r>
        <w:t xml:space="preserve"> </w:t>
      </w:r>
      <w:r>
        <w:t xml:space="preserve">focal interaction 2,958</w:t>
      </w:r>
      <w:r>
        <w:t xml:space="preserve"> </w:t>
      </w:r>
      <m:oMath>
        <m:sSub>
          <m:e>
            <m:r>
              <m:rPr>
                <m:nor/>
                <m:sty m:val="p"/>
              </m:rPr>
              <m:t>DAI</m:t>
            </m:r>
          </m:e>
          <m:sub>
            <m:r>
              <m:t>z</m:t>
            </m:r>
          </m:sub>
        </m:sSub>
      </m:oMath>
      <w:r>
        <w:t xml:space="preserve"> </w:t>
      </w:r>
      <m:oMath>
        <m:r>
          <m:rPr>
            <m:sty m:val="p"/>
          </m:rPr>
          <m:t>×</m:t>
        </m:r>
      </m:oMath>
      <w:r>
        <w:t xml:space="preserve"> </w:t>
      </w:r>
      <w:r>
        <w:t xml:space="preserve">wave detectable (p =.016); other Only DAI direct shifts</w:t>
      </w:r>
      <w:r>
        <w:t xml:space="preserve"> </w:t>
      </w:r>
      <w:r>
        <w:t xml:space="preserve">(pooled)</w:t>
      </w:r>
      <w:r>
        <w:t xml:space="preserve"> </w:t>
      </w:r>
      <w:r>
        <w:t xml:space="preserve">focal</w:t>
      </w:r>
      <w:r>
        <w:t xml:space="preserve"> </w:t>
      </w:r>
      <m:oMath>
        <m:r>
          <m:rPr>
            <m:sty m:val="p"/>
          </m:rPr>
          <m:t>×</m:t>
        </m:r>
      </m:oMath>
      <w:r>
        <w:t xml:space="preserve"> </w:t>
      </w:r>
      <w:r>
        <w:t xml:space="preserve">wave n.s.</w:t>
      </w:r>
      <w:r>
        <w:t xml:space="preserve"> </w:t>
      </w:r>
      <w:r>
        <w:t xml:space="preserve">cross-wave-separable</w:t>
      </w:r>
      <w:r>
        <w:t xml:space="preserve"> </w:t>
      </w:r>
      <w:r>
        <w:t xml:space="preserve">Density around TP ($</w:t>
      </w:r>
      <w:r>
        <w:t xml:space="preserve">$5 pp band) 29 / 2,958 1.0% of firms within band; bulk of mass at Curvature identified by parFSTS = 0</w:t>
      </w:r>
      <w:r>
        <w:t xml:space="preserve"> </w:t>
      </w:r>
      <w:r>
        <w:t xml:space="preserve">ticipation margin</w:t>
      </w:r>
      <w:r>
        <w:t xml:space="preserve"> </w:t>
      </w:r>
      <w:r>
        <w:t xml:space="preserve">J. PSM ATT,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website (kernel 1,085 ATT_DAI = 0.321 (SE 0.043)</w:t>
      </w:r>
      <w:r>
        <w:t xml:space="preserve"> </w:t>
      </w:r>
      <w:r>
        <w:t xml:space="preserve">Robust to algorithm</w:t>
      </w:r>
      <w:r>
        <w:t xml:space="preserve"> </w:t>
      </w:r>
      <w:r>
        <w:t xml:space="preserve">BW 0.06)</w:t>
      </w:r>
      <w:r>
        <w:t xml:space="preserve"> </w:t>
      </w:r>
      <w:r>
        <w:t xml:space="preserve">J. PSM ATT,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w:t>
      </w:r>
      <w:r>
        <w:t xml:space="preserve"> </w:t>
      </w:r>
      <m:oMath>
        <m:sSub>
          <m:e>
            <m:r>
              <m:rPr>
                <m:nor/>
                <m:sty m:val="p"/>
              </m:rPr>
              <m:t>DAI</m:t>
            </m:r>
          </m:e>
          <m:sub>
            <m:r>
              <m:t>z</m:t>
            </m:r>
          </m:sub>
        </m:sSub>
      </m:oMath>
      <w:r>
        <w:t xml:space="preserve"> </w:t>
      </w:r>
      <w:r>
        <w:t xml:space="preserve">2,298</w:t>
      </w:r>
      <w:r>
        <w:t xml:space="preserve"> </w:t>
      </w:r>
      <m:oMath>
        <m:sSub>
          <m:e>
            <m:r>
              <m:rPr>
                <m:nor/>
                <m:sty m:val="p"/>
              </m:rPr>
              <m:t>DAI</m:t>
            </m:r>
          </m:e>
          <m:sub>
            <m:r>
              <m:t>z</m:t>
            </m:r>
          </m:sub>
        </m:sSub>
      </m:oMath>
      <w:r>
        <w:t xml:space="preserve"> </w:t>
      </w:r>
      <w:r>
        <w:t xml:space="preserve">= 0.018 (p =.942) n.s.</w:t>
      </w:r>
      <w:r>
        <w:t xml:space="preserve"> </w:t>
      </w:r>
      <w:r>
        <w:t xml:space="preserve">First-stage F = 34.6</w:t>
      </w:r>
      <w:r>
        <w:t xml:space="preserve"> </w:t>
      </w:r>
      <w:r>
        <w:t xml:space="preserve">(strong)</w:t>
      </w:r>
      <w:r>
        <w:t xml:space="preserve"> </w:t>
      </w:r>
      <w:r>
        <w:t xml:space="preserve">K. IV / 2SLS,</w:t>
      </w:r>
      <w:r>
        <w:t xml:space="preserve"> </w:t>
      </w:r>
      <m:oMath>
        <m:sSub>
          <m:e>
            <m:r>
              <m:rPr>
                <m:nor/>
                <m:sty m:val="p"/>
              </m:rPr>
              <m:t>TCI</m:t>
            </m:r>
          </m:e>
          <m:sub>
            <m:r>
              <m:t>z</m:t>
            </m:r>
          </m:sub>
        </m:sSub>
      </m:oMath>
      <w:r>
        <w:t xml:space="preserve"> </w:t>
      </w:r>
      <w:r>
        <w:t xml:space="preserve">2,298</w:t>
      </w:r>
      <w:r>
        <w:t xml:space="preserve"> </w:t>
      </w:r>
      <m:oMath>
        <m:sSub>
          <m:e>
            <m:r>
              <m:rPr>
                <m:nor/>
                <m:sty m:val="p"/>
              </m:rPr>
              <m:t>TCI</m:t>
            </m:r>
          </m:e>
          <m:sub>
            <m:r>
              <m:t>z</m:t>
            </m:r>
          </m:sub>
        </m:sSub>
      </m:oMath>
      <w:r>
        <w:t xml:space="preserve"> </w:t>
      </w:r>
      <w:r>
        <w:t xml:space="preserve">=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w:t>
      </w:r>
      <w:r>
        <w:t xml:space="preserve"> </w:t>
      </w:r>
      <m:oMath>
        <m:sSub>
          <m:e>
            <m:r>
              <m:rPr>
                <m:nor/>
                <m:sty m:val="p"/>
              </m:rPr>
              <m:t>FSTS</m:t>
            </m:r>
          </m:e>
          <m:sub>
            <m:r>
              <m:t>c</m:t>
            </m:r>
          </m:sub>
        </m:sSub>
      </m:oMath>
      <w:r>
        <w:t xml:space="preserve"> </w:t>
      </w:r>
      <w:r>
        <w:t xml:space="preserve">0.92 to 0.61; $</w:t>
      </w:r>
      <w:r>
        <w:t xml:space="preserve">_c$2 −2.21 to −1.17; No sign change; focal findTCI 0.14 to 0.19; DAI 0.07 to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&lt;.001, ∗∗ p &lt;.01,</w:t>
      </w:r>
      <w:r>
        <w:t xml:space="preserve"> </w:t>
      </w:r>
      <w:r>
        <w:t xml:space="preserve">∗</w:t>
      </w:r>
      <w:r>
        <w:t xml:space="preserve"> </w:t>
      </w:r>
      <w:r>
        <w:t xml:space="preserve">p &lt;.05, † p &lt;.10,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 www.enterprisesurveys.org; 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w:t>
      </w:r>
      <w:r>
        <w:t xml:space="preserve"> </w:t>
      </w:r>
      <m:oMath>
        <m:sSub>
          <m:e>
            <m:r>
              <m:rPr>
                <m:nor/>
                <m:sty m:val="p"/>
              </m:rPr>
              <m:t>FSTS</m:t>
            </m:r>
          </m:e>
          <m:sub>
            <m:r>
              <m:t>c</m:t>
            </m:r>
          </m:sub>
        </m:sSub>
      </m:oMath>
      <w:r>
        <w:t xml:space="preserve"> </w:t>
      </w:r>
      <w:r>
        <w:t xml:space="preserve">and</w:t>
      </w:r>
      <w:r>
        <w:t xml:space="preserve"> </w:t>
      </w:r>
      <m:oMath>
        <m:sSubSup>
          <m:e>
            <m:r>
              <m:rPr>
                <m:nor/>
                <m:sty m:val="p"/>
              </m:rPr>
              <m:t>FSTS</m:t>
            </m:r>
          </m:e>
          <m:sub>
            <m:r>
              <m:t>c</m:t>
            </m:r>
          </m:sub>
          <m:sup>
            <m:r>
              <m:t>2</m:t>
            </m:r>
          </m:sup>
        </m:sSubSup>
      </m:oMath>
      <w:r>
        <w:t xml:space="preserve"> </w:t>
      </w:r>
      <w:r>
        <w:t xml:space="preserve">comparisons support wave-specific heterogeneity in TCI and DAI direct effects but not in the I–P curvature parameters. Turning points (already reported in Table 5 above) are derived from M2 (lnLP =</w:t>
      </w:r>
      <w:r>
        <w:t xml:space="preserve"> </w:t>
      </w:r>
      <m:oMath>
        <m:sSub>
          <m:e>
            <m:r>
              <m:t>β</m:t>
            </m:r>
          </m:e>
          <m:sub>
            <m:r>
              <m:t>0</m:t>
            </m:r>
          </m:sub>
        </m:sSub>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 controls + sector FE [+ wave FE in pooled]) back-transformed to the raw FSTS scale; 95% CI uses the delta method; Lind–Mehlum p-values follow the Sasabuchi-style endpoint test (Lind &amp; Mehlum, 2010). Source: WBES Vietnam 2009, 2015, 2023; authors’ calculations.</w:t>
      </w:r>
    </w:p>
    <w:bookmarkEnd w:id="62"/>
    <w:bookmarkEnd w:id="63"/>
    <w:bookmarkEnd w:id="64"/>
    <w:bookmarkStart w:id="70" w:name="discussion"/>
    <w:p>
      <w:pPr>
        <w:pStyle w:val="Heading2"/>
      </w:pPr>
      <w:r>
        <w:t xml:space="preserve">5. Discussion</w:t>
      </w:r>
    </w:p>
    <w:p>
      <w:pPr>
        <w:pStyle w:val="FirstParagraph"/>
      </w:pPr>
      <w:r>
        <w:t xml:space="preserve">The results are best located first against the meta-analytic baseline. Wu, Fan, and Chen (2022) establish a positive average I–P relationship for emerging-market multinationals, a useful macro-level anchor, though one that aggregates across institutional contexts in which the functional form may vary substantially. That meta-analysis leaves country-level heterogeneity in the I–P curve shape under-specified. Vietnam, a single-party transitional economy with rapid but uneven digital infrastructure uptake, offers a critical test of whether the pooled meta-level estimate masks functional-form nonlinearity at the within-country level. The present evidence speaks to that concern: the inverted-U is robust within Vietnam, yet a participation-margin step drives it rather than within-exporter saturation, a structure that pooling exporters and non-exporters in cross-country meta-analyses tends to inflate into an apparent continuous curvature. The within-Vietnam temporal durability of the threshold (39–46 % band sustained across 14 years) additionally indicates that institutional context, held constant in this single-country design, may stabilise the curve shape in a way that cross-country designs cannot isolate. The present finding of a reproducible inverted-U at FSTS</w:t>
      </w:r>
      <w:r>
        <w:t xml:space="preserve"> </w:t>
      </w:r>
      <m:oMath>
        <m:r>
          <m:rPr>
            <m:sty m:val="p"/>
          </m:rPr>
          <m:t>≈</m:t>
        </m:r>
      </m:oMath>
      <w:r>
        <w:t xml:space="preserve"> </w:t>
      </w:r>
      <w:r>
        <w:t xml:space="preserve">39–46% in Vietnam, despite the cross-national skepticism articulated by Pisani, Garcia-Bernardo, and Heemskerk (2020),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not merely a compositional artefact of positive selection into exporting.</w:t>
      </w:r>
    </w:p>
    <w:bookmarkStart w:id="65" w:name="X45b04fa3b40d11388c7a41a1d622c5668243784"/>
    <w:p>
      <w:pPr>
        <w:pStyle w:val="Heading3"/>
      </w:pPr>
      <w:r>
        <w:t xml:space="preserve">5.1 Reinterpreting the baseline website-presence indicator in Vietnam</w:t>
      </w:r>
    </w:p>
    <w:p>
      <w:pPr>
        <w:pStyle w:val="FirstParagraph"/>
      </w:pPr>
      <w:r>
        <w:t xml:space="preserve">The descriptive</w:t>
      </w:r>
      <w:r>
        <w:t xml:space="preserve"> </w:t>
      </w:r>
      <m:oMath>
        <m:sSub>
          <m:e>
            <m:r>
              <m:rPr>
                <m:nor/>
                <m:sty m:val="p"/>
              </m:rPr>
              <m:t>DAI</m:t>
            </m:r>
          </m:e>
          <m:sub>
            <m:r>
              <m:t>z</m:t>
            </m:r>
          </m:sub>
        </m:sSub>
      </m:oMath>
      <w:r>
        <w:t xml:space="preserve"> </w:t>
      </w:r>
      <w:r>
        <w:t xml:space="preserve">findings carry one central implication: baseline website presence in Vietnam should</w:t>
      </w:r>
      <w:r>
        <w:t xml:space="preserve"> </w:t>
      </w:r>
      <w:r>
        <w:t xml:space="preserve">not be read as a universal, temporally stable productivity premium, nor as evidence on dynamic digital capability.</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are both positive on average in the pooled specifications, yet their empirical roles diverge</w:t>
      </w:r>
      <w:r>
        <w:t xml:space="preserve"> </w:t>
      </w:r>
      <w:r>
        <w:t xml:space="preserve">materially across waves and across identification strategies (Vahlne, 2020; Stallkamp and Schotter, 2021). Within the limits of a Tier-1 binary website indicator, what emerges is that</w:t>
      </w:r>
      <w:r>
        <w:t xml:space="preserve"> </w:t>
      </w:r>
      <w:r>
        <w:t xml:space="preserve">website ownership is no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w:t>
      </w:r>
      <w:r>
        <w:t xml:space="preserve"> </w:t>
      </w:r>
      <m:oMath>
        <m:sSub>
          <m:e>
            <m:r>
              <m:rPr>
                <m:nor/>
                <m:sty m:val="p"/>
              </m:rPr>
              <m:t>FSTS</m:t>
            </m:r>
          </m:e>
          <m:sub>
            <m:r>
              <m:t>c</m:t>
            </m:r>
          </m:sub>
        </m:sSub>
        <m:r>
          <m:rPr>
            <m:sty m:val="p"/>
          </m:rPr>
          <m:t>×</m:t>
        </m:r>
        <m:sSub>
          <m:e>
            <m:r>
              <m:rPr>
                <m:nor/>
                <m:sty m:val="p"/>
              </m:rPr>
              <m:t>DAI</m:t>
            </m:r>
          </m:e>
          <m:sub>
            <m:r>
              <m:t>z</m:t>
            </m:r>
          </m:sub>
        </m:sSub>
      </m:oMath>
      <w:r>
        <w:t xml:space="preserve"> </w:t>
      </w:r>
      <w:r>
        <w:t xml:space="preserve">interaction in 2023, where DAI productivity relevance attenuates at higher export intensities,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 Framed in capability terms, a Tier-1 website in transitional Vietnam operates as a saturated hygiene factor rather than a differentiating resource: with ownership approaching universality (42.5% in 2009 to 49.8% in 2023), it retains too little cross-firm variance to bend the export–performance curve, so the null is a substantive finding about a saturated threshold rather than a measurement shortfall. The contrast with a companion paper by the present author group on Singapore, where the deeper Tier-1+2 DAI construct amplifies the productivity return at high export intensity, indicates that foundational digital adoption is a context-dependent resource gated by a depth threshold. This study discloses this companion-paper link to flag, rather than conceal, that the Singapore comparator is drawn from the present study’s own research programme and should be interpreted accordingly. The substantive reading is that only past the shift from digitising information to integrating digital into processes does foundational digital adoption acquire curve-reshaping potency, and only then can it act as a partial substitute for the institutional functions that remain underdeveloped in a transitional economy.</w:t>
      </w:r>
      <w:r>
        <w:t xml:space="preserve"> </w:t>
      </w:r>
      <w:r>
        <w:t xml:space="preserve">This reading helps reconcile the coexistence of positive pooled effects with uneven wave-specific results. The pooled model captures the average tendency for stronger capability to track better performance; the wave-specific models show that this tendency is not</w:t>
      </w:r>
      <w:r>
        <w:t xml:space="preserve"> </w:t>
      </w:r>
      <w:r>
        <w:t xml:space="preserve">equally strong in every phase. The value of digital capability thus depends on where a firm</w:t>
      </w:r>
      <w:r>
        <w:t xml:space="preserve"> </w:t>
      </w:r>
      <w:r>
        <w:t xml:space="preserve">stands in the broader trajectory of internationalisation and transition, as seen in repeated cross-sectional snapshots rather than within-firm longitudinal records.</w:t>
      </w:r>
    </w:p>
    <w:bookmarkEnd w:id="65"/>
    <w:bookmarkStart w:id="66" w:name="Xf38ea3bc596d70f844bdf59a29c37f26a529ee1"/>
    <w:p>
      <w:pPr>
        <w:pStyle w:val="Heading3"/>
      </w:pPr>
      <w:r>
        <w:t xml:space="preserve">5.2 Why the distinction between TCI and baseline DAI matters</w:t>
      </w:r>
    </w:p>
    <w:p>
      <w:pPr>
        <w:pStyle w:val="FirstParagraph"/>
      </w:pPr>
      <w:r>
        <w:t xml:space="preserve">The results strengthen the methodological case for keeping foreign-technology / standards capability apart from a baseline website-presence indicator, rather than folding the two into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w:t>
      </w:r>
      <w:r>
        <w:t xml:space="preserve"> </w:t>
      </w:r>
      <m:oMath>
        <m:sSub>
          <m:e>
            <m:r>
              <m:rPr>
                <m:nor/>
                <m:sty m:val="p"/>
              </m:rPr>
              <m:t>TCI</m:t>
            </m:r>
          </m:e>
          <m:sub>
            <m:r>
              <m:t>z</m:t>
            </m:r>
          </m:sub>
        </m:sSub>
      </m:oMath>
      <w:r>
        <w:t xml:space="preserve"> </w:t>
      </w:r>
      <w:r>
        <w:t xml:space="preserve">is 1.64 (p &lt;.001) under a strong instrument</w:t>
      </w:r>
      <w:r>
        <w:t xml:space="preserve"> </w:t>
      </w:r>
      <w:r>
        <w:t xml:space="preserve">(first-stage F = 22.1), and the matching ATT for the cert / foreign-tech treatment is 0.61–0.64</w:t>
      </w:r>
      <w:r>
        <w:t xml:space="preserve"> </w:t>
      </w:r>
      <w:r>
        <w:t xml:space="preserve">(p &lt;.001) on a matched sample of approximately 640 firms.</w:t>
      </w:r>
    </w:p>
    <w:p>
      <w:pPr>
        <w:pStyle w:val="BodyText"/>
      </w:pPr>
      <w:r>
        <w:t xml:space="preserve">By contrast, the OLS-detected</w:t>
      </w:r>
    </w:p>
    <w:p>
      <w:pPr>
        <w:pStyle w:val="BodyText"/>
      </w:pPr>
      <w:r>
        <w:t xml:space="preserve">DAI direct association is reproduced under PSM (matching ATT = 0.30–0.32, p &lt;.001) but</w:t>
      </w:r>
      <w:r>
        <w:t xml:space="preserve"> </w:t>
      </w:r>
      <w:r>
        <w:t xml:space="preserve">attenuates to a null under 2SLS (</w:t>
      </w:r>
      <m:oMath>
        <m:r>
          <m:t>β</m:t>
        </m:r>
      </m:oMath>
      <w:r>
        <w:t xml:space="preserve"> </w:t>
      </w:r>
      <w:r>
        <w:t xml:space="preserve">= 0.02, p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w:t>
      </w:r>
      <w:r>
        <w:t xml:space="preserve"> </w:t>
      </w:r>
      <m:oMath>
        <m:sSub>
          <m:e>
            <m:r>
              <m:rPr>
                <m:nor/>
                <m:sty m:val="p"/>
              </m:rPr>
              <m:t>DAI</m:t>
            </m:r>
          </m:e>
          <m:sub>
            <m:r>
              <m:t>r</m:t>
            </m:r>
          </m:sub>
        </m:sSub>
      </m:oMath>
      <w:r>
        <w:t xml:space="preserve">ich extension reported in 4.5 Panel B reinforces the construct interpretation</w:t>
      </w:r>
      <w:r>
        <w:t xml:space="preserve"> </w:t>
      </w:r>
      <w:r>
        <w:t xml:space="preserve">rather than weakening it. Although the primary</w:t>
      </w:r>
      <w:r>
        <w:t xml:space="preserve"> </w:t>
      </w:r>
      <m:oMath>
        <m:sSub>
          <m:e>
            <m:r>
              <m:rPr>
                <m:nor/>
                <m:sty m:val="p"/>
              </m:rPr>
              <m:t>DAI</m:t>
            </m:r>
          </m:e>
          <m:sub>
            <m:r>
              <m:t>z</m:t>
            </m:r>
          </m:sub>
        </m:sSub>
      </m:oMath>
      <w:r>
        <w:t xml:space="preserve"> </w:t>
      </w:r>
      <w:r>
        <w:t xml:space="preserve">anchored on c22b (website presence) is</w:t>
      </w:r>
      <w:r>
        <w:t xml:space="preserve"> </w:t>
      </w:r>
      <w:r>
        <w:t xml:space="preserve">by 2023 close to a Tier-1 baseline indicator, the</w:t>
      </w:r>
      <w:r>
        <w:t xml:space="preserve"> </w:t>
      </w:r>
      <m:oMath>
        <m:sSub>
          <m:e>
            <m:r>
              <m:rPr>
                <m:nor/>
                <m:sty m:val="p"/>
              </m:rPr>
              <m:t>DAI</m:t>
            </m:r>
          </m:e>
          <m:sub>
            <m:r>
              <m:t>r</m:t>
            </m:r>
          </m:sub>
        </m:sSub>
      </m:oMath>
      <w:r>
        <w:t xml:space="preserve">ich extension available only in 2023,</w:t>
      </w:r>
      <w:r>
        <w:t xml:space="preserve"> </w:t>
      </w:r>
      <w:r>
        <w:t xml:space="preserve">combining c22b with electronic-payment shares (k33, k38), produces a similarly directioned</w:t>
      </w:r>
      <w:r>
        <w:t xml:space="preserve"> </w:t>
      </w:r>
      <w:r>
        <w:t xml:space="preserve">and a moderation pattern in the same direction (</w:t>
      </w:r>
      <m:oMath>
        <m:sSub>
          <m:e>
            <m:r>
              <m:rPr>
                <m:nor/>
                <m:sty m:val="p"/>
              </m:rPr>
              <m:t>FSTS</m:t>
            </m:r>
          </m:e>
          <m:sub>
            <m:r>
              <m:t>c</m:t>
            </m:r>
          </m:sub>
        </m:sSub>
        <m:r>
          <m:rPr>
            <m:sty m:val="p"/>
          </m:rPr>
          <m:t>×</m:t>
        </m:r>
        <m:sSub>
          <m:e>
            <m:r>
              <m:rPr>
                <m:nor/>
                <m:sty m:val="p"/>
              </m:rPr>
              <m:t>DAI</m:t>
            </m:r>
          </m:e>
          <m:sub>
            <m:r>
              <m:t>r</m:t>
            </m:r>
          </m:sub>
        </m:sSub>
      </m:oMath>
      <w:r>
        <w:t xml:space="preserve">ich_cont_z = -0.93, M8 joint</w:t>
      </w:r>
      <w:r>
        <w:t xml:space="preserve"> </w:t>
      </w:r>
      <w:r>
        <w:t xml:space="preserve">p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primary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m:oMath>
        <m:sSub>
          <m:e>
            <m:r>
              <m:rPr>
                <m:nor/>
                <m:sty m:val="p"/>
              </m:rPr>
              <m:t>TCI</m:t>
            </m:r>
          </m:e>
          <m:sub>
            <m:r>
              <m:t>z</m:t>
            </m:r>
          </m:sub>
        </m:sSub>
      </m:oMath>
      <w:r>
        <w:t xml:space="preserve"> </w:t>
      </w:r>
      <w:r>
        <w:t xml:space="preserve">behaves like a</w:t>
      </w:r>
    </w:p>
    <w:p>
      <w:pPr>
        <w:pStyle w:val="BodyText"/>
      </w:pPr>
      <w:r>
        <w:t xml:space="preserve">robust foreign-technology / standards capability whose productivity association survives both</w:t>
      </w:r>
      <w:r>
        <w:t xml:space="preserve"> </w:t>
      </w:r>
      <w:r>
        <w:t xml:space="preserve">PSM and 2SLS.</w:t>
      </w:r>
      <w:r>
        <w:t xml:space="preserve"> </w:t>
      </w:r>
      <m:oMath>
        <m:sSub>
          <m:e>
            <m:r>
              <m:rPr>
                <m:nor/>
                <m:sty m:val="p"/>
              </m:rPr>
              <m:t>DAI</m:t>
            </m:r>
          </m:e>
          <m:sub>
            <m:r>
              <m:t>z</m:t>
            </m:r>
          </m:sub>
        </m:sSub>
      </m:oMath>
      <w:r>
        <w:t xml:space="preserve"> </w:t>
      </w:r>
      <w:r>
        <w:t xml:space="preserve">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argues for a more careful treatment of digitalisation in international-business research, one that</w:t>
      </w:r>
      <w:r>
        <w:t xml:space="preserve"> </w:t>
      </w:r>
      <w:r>
        <w:t xml:space="preserve">distinguishes basic digital enablement (easily contaminated by selection on observables)</w:t>
      </w:r>
      <w:r>
        <w:t xml:space="preserve"> </w:t>
      </w:r>
      <w:r>
        <w:t xml:space="preserve">from broader technological depth (more identification-robust), rather than collapsing them into</w:t>
      </w:r>
      <w:r>
        <w:t xml:space="preserve"> </w:t>
      </w:r>
      <w:r>
        <w:t xml:space="preserve">a single label.</w:t>
      </w:r>
    </w:p>
    <w:bookmarkEnd w:id="66"/>
    <w:bookmarkStart w:id="67" w:name="the-significance-of-the-2015-dip"/>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not merely the macro infrastructure gap,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This study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and to a degree complementary,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This study does not</w:t>
      </w:r>
      <w:r>
        <w:t xml:space="preserve"> </w:t>
      </w:r>
      <w:r>
        <w:t xml:space="preserve">view proxy obsolescence and stage contingency as mutually exclusive: both can be operating</w:t>
      </w:r>
      <w:r>
        <w:t xml:space="preserve"> </w:t>
      </w:r>
      <w:r>
        <w:t xml:space="preserve">jointly. This study flags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read not as an anomaly, but as a wave-specific compression of</w:t>
      </w:r>
      <w:r>
        <w:t xml:space="preserve"> </w:t>
      </w:r>
      <w:r>
        <w:t xml:space="preserve">the foundational digital-adoption channel under transitional infrastructure conditions. Even where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This study treats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w:t>
      </w:r>
      <w:r>
        <w:t xml:space="preserve"> </w:t>
      </w:r>
      <m:oMath>
        <m:r>
          <m:rPr>
            <m:sty m:val="p"/>
          </m:rPr>
          <m:t>×</m:t>
        </m:r>
      </m:oMath>
      <w:r>
        <w:t xml:space="preserve"> </w:t>
      </w:r>
      <w:r>
        <w:t xml:space="preserve">focal interaction test detects only the DAI direct shifts as cross-wavedistinguishable; the FSTS curvature and the</w:t>
      </w:r>
      <w:r>
        <w:t xml:space="preserve"> </w:t>
      </w:r>
      <m:oMath>
        <m:r>
          <m:rPr>
            <m:nor/>
            <m:sty m:val="p"/>
          </m:rPr>
          <m:t>FSTS</m:t>
        </m:r>
        <m:r>
          <m:rPr>
            <m:sty m:val="p"/>
          </m:rPr>
          <m:t>×</m:t>
        </m:r>
        <m:r>
          <m:rPr>
            <m:nor/>
            <m:sty m:val="p"/>
          </m:rPr>
          <m:t>DAI</m:t>
        </m:r>
      </m:oMath>
      <w:r>
        <w:t xml:space="preserve"> </w:t>
      </w:r>
      <w:r>
        <w:t xml:space="preserve">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This study does not treat these macro indicators as identifying variation, they are not entered</w:t>
      </w:r>
      <w:r>
        <w:t xml:space="preserve"> </w:t>
      </w:r>
      <w:r>
        <w:t xml:space="preserve">into the regression,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7"/>
    <w:bookmarkStart w:id="68" w:name="managerial-implications"/>
    <w:p>
      <w:pPr>
        <w:pStyle w:val="Heading3"/>
      </w:pPr>
      <w:r>
        <w:t xml:space="preserve">5.4 Managerial implications</w:t>
      </w:r>
    </w:p>
    <w:p>
      <w:pPr>
        <w:pStyle w:val="FirstParagraph"/>
      </w:pPr>
      <w:r>
        <w:t xml:space="preserve">The managerial implications below should be read as</w:t>
      </w:r>
      <w:r>
        <w:t xml:space="preserve"> </w:t>
      </w:r>
      <w:r>
        <w:rPr>
          <w:iCs/>
          <w:i/>
        </w:rPr>
        <w:t xml:space="preserve">associational stage characterizations</w:t>
      </w:r>
      <w:r>
        <w:t xml:space="preserve"> </w:t>
      </w:r>
      <w:r>
        <w:t xml:space="preserve">given the cross-sectional WBES design, not as causal cost-of-capital optimisation. The stage thresholds (FSTS = 0, FSTS = 30%, FSTS = 39–46%) are anchored at point estimates that carry meaningful uncertainty (the turning-point 95% CIs span roughly 30–50% FSTS in pooled M2), so the qualitative stage logic, composition of capability investment shifts with relative position on the I-P curve, is more robust than any specific FSTS boundary. With this caveat, the managerial implication is not that firms should invest less in digitalisation, but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to FSTS &gt; 0) and the inverted-U turning-point band at approximately 39–46% FSTS. Read together, the step-function structure at the participation margin and the Tier-1 saturation of website-based digital presence imply a threshold-conditioned capital-allocation map for Vietnamese SME managers, one that translates the wave-specific coefficient patterns into stage-appropriate priorities.</w:t>
      </w:r>
    </w:p>
    <w:p>
      <w:pPr>
        <w:pStyle w:val="BodyText"/>
      </w:pPr>
      <w:r>
        <w:rPr>
          <w:iCs/>
          <w:i/>
        </w:rPr>
        <w:t xml:space="preserve">Stage 1,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Approaching the turning-point band (FSTS</w:t>
      </w:r>
      <w:r>
        <w:rPr>
          <w:iCs/>
          <w:i/>
        </w:rPr>
        <w:t xml:space="preserve"> </w:t>
      </w:r>
      <m:oMath>
        <m:r>
          <m:rPr>
            <m:sty m:val="p"/>
          </m:rPr>
          <m:t>≈</m:t>
        </m:r>
      </m:oMath>
      <w:r>
        <w:rPr>
          <w:iCs/>
          <w:i/>
        </w:rPr>
        <w:t xml:space="preserve"> </w:t>
      </w:r>
      <w:r>
        <w:rPr>
          <w:iCs/>
          <w:i/>
        </w:rPr>
        <w:t xml:space="preserve">30–46 %).</w:t>
      </w:r>
      <w:r>
        <w:t xml:space="preserve"> </w:t>
      </w:r>
      <w:r>
        <w:t xml:space="preserve">The TCI direct association (pooled</w:t>
      </w:r>
      <w:r>
        <w:t xml:space="preserve"> </w:t>
      </w:r>
      <m:oMath>
        <m:r>
          <m:t>β</m:t>
        </m:r>
      </m:oMath>
      <w:r>
        <w:t xml:space="preserve"> </w:t>
      </w:r>
      <w:r>
        <w:t xml:space="preserve">= 0.179, p &lt;.001; instrumented</w:t>
      </w:r>
      <w:r>
        <w:t xml:space="preserve"> </w:t>
      </w:r>
      <m:oMath>
        <m:r>
          <m:t>β</m:t>
        </m:r>
      </m:oMath>
      <w:r>
        <w:t xml:space="preserve"> </w:t>
      </w:r>
      <w:r>
        <w:t xml:space="preserve">= 1.639) and the curvature-flattening role of TCI moderation (M3 joint p =.003 pooled) imply that the binding productivity friction in this band is the coordination ceiling that foreign-technology and standards capability is most effective at relaxing. Capital expenditure should therefore tilt toward TCI-deepening investments, foreign-licensed technology, formal quality-certification systems, process integration with foreign principals,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Beyond the turning point (FSTS &gt; ~46 %).</w:t>
      </w:r>
      <w:r>
        <w:t xml:space="preserve"> </w:t>
      </w:r>
      <w:r>
        <w:t xml:space="preserve">The negative</w:t>
      </w:r>
      <w:r>
        <w:t xml:space="preserve"> </w:t>
      </w:r>
      <m:oMath>
        <m:r>
          <m:rPr>
            <m:nor/>
            <m:sty m:val="p"/>
          </m:rPr>
          <m:t>FSTS</m:t>
        </m:r>
        <m:r>
          <m:rPr>
            <m:sty m:val="p"/>
          </m:rPr>
          <m:t>×</m:t>
        </m:r>
        <m:sSub>
          <m:e>
            <m:r>
              <m:rPr>
                <m:nor/>
                <m:sty m:val="p"/>
              </m:rPr>
              <m:t>DAI</m:t>
            </m:r>
          </m:e>
          <m:sub>
            <m:r>
              <m:t>z</m:t>
            </m:r>
          </m:sub>
        </m:sSub>
      </m:oMath>
      <w:r>
        <w:t xml:space="preserve"> </w:t>
      </w:r>
      <w:r>
        <w:t xml:space="preserve">interaction observed in 2023 (</w:t>
      </w:r>
      <m:oMath>
        <m:r>
          <m:t>β</m:t>
        </m:r>
      </m:oMath>
      <w:r>
        <w:t xml:space="preserve"> </w:t>
      </w:r>
      <w:r>
        <w:t xml:space="preserve">= -0.912, p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w:t>
      </w:r>
      <w:r>
        <w:t xml:space="preserve"> </w:t>
      </w:r>
      <m:oMath>
        <m:sSub>
          <m:e>
            <m:r>
              <m:rPr>
                <m:nor/>
                <m:sty m:val="p"/>
              </m:rPr>
              <m:t>DAI</m:t>
            </m:r>
          </m:e>
          <m:sub>
            <m:r>
              <m:t>r</m:t>
            </m:r>
          </m:sub>
        </m:sSub>
      </m:oMath>
      <w:r>
        <w:t xml:space="preserve">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68"/>
    <w:bookmarkStart w:id="69" w:name="policy-implications"/>
    <w:p>
      <w:pPr>
        <w:pStyle w:val="Heading3"/>
      </w:pPr>
      <w:r>
        <w:t xml:space="preserve">5.5 Policy implications</w:t>
      </w:r>
    </w:p>
    <w:p>
      <w:pPr>
        <w:pStyle w:val="FirstParagraph"/>
      </w:pPr>
      <w:r>
        <w:t xml:space="preserve">The policy reading here is offered as tentative consideration, not directive prescription. The</w:t>
      </w:r>
      <w:r>
        <w:t xml:space="preserve"> </w:t>
      </w:r>
      <w:r>
        <w:t xml:space="preserve">associational nature of the evidence, the breadth of the wave-specific heterogeneity, and the</w:t>
      </w:r>
      <w:r>
        <w:t xml:space="preserve"> </w:t>
      </w:r>
      <w:r>
        <w:t xml:space="preserve">single-economy scope all weigh against converting these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quality certification,</w:t>
      </w:r>
      <w:r>
        <w:t xml:space="preserve"> </w:t>
      </w:r>
      <w:r>
        <w:t xml:space="preserve">absorptive-capacity investment, organisational routines for cross-border coordination, are</w:t>
      </w:r>
      <w:r>
        <w:t xml:space="preserve"> </w:t>
      </w:r>
      <w:r>
        <w:t xml:space="preserve">more consistent with the pattern that emerges in 2023.</w:t>
      </w:r>
      <w:r>
        <w:t xml:space="preserve"> </w:t>
      </w:r>
      <w:r>
        <w:t xml:space="preserve">Third, the cross-wave comparison, which, given the repeated cross-sectional design, reflects cohort-level snapshots rather than within-firm trajectories,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69"/>
    <w:bookmarkEnd w:id="70"/>
    <w:bookmarkStart w:id="71" w:name="limitations-and-future-research"/>
    <w:p>
      <w:pPr>
        <w:pStyle w:val="Heading2"/>
      </w:pPr>
      <w:r>
        <w:t xml:space="preserve">6. Limitations and future research</w:t>
      </w:r>
    </w:p>
    <w:p>
      <w:pPr>
        <w:pStyle w:val="FirstParagraph"/>
      </w:pPr>
      <w:r>
        <w:t xml:space="preserve">The findings should be read against five limitations. The first and most fundamental is that the WBES</w:t>
      </w:r>
      <w:r>
        <w:t xml:space="preserve"> </w:t>
      </w:r>
      <w:r>
        <w:t xml:space="preserve">microdata are repeated cross-sections, not a true firm panel. This design cannot identify within-firm trajectories over time, nor net out time-invariant unobserved heterogeneity at the firm level, so causal attribution for any estimated coefficient remains out of reach.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w:t>
      </w:r>
      <w:r>
        <w:t xml:space="preserve"> </w:t>
      </w:r>
      <m:oMath>
        <m:sSub>
          <m:e>
            <m:r>
              <m:rPr>
                <m:nor/>
                <m:sty m:val="p"/>
              </m:rPr>
              <m:t>DAI</m:t>
            </m:r>
          </m:e>
          <m:sub>
            <m:r>
              <m:t>z</m:t>
            </m:r>
          </m:sub>
        </m:sSub>
      </m:oMath>
      <w:r>
        <w:t xml:space="preserve"> </w:t>
      </w:r>
      <w:r>
        <w:t xml:space="preserve">captures only a foundational, Tier-1-style layer of digital adoption centred on website presence, rather than digitally integrated organisational capability. This means the present analysis cannot conclude whether deeper digital integration, Tier 2 electronic-payment intensity, Tier 3 ERP-linked supply-chain digitisation, or Tier 4 data-driven operations,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 The Paternoster et al. (1998) z-tests indicate that the drop in</w:t>
      </w:r>
      <w:r>
        <w:t xml:space="preserve"> </w:t>
      </w:r>
      <m:oMath>
        <m:sSub>
          <m:e>
            <m:r>
              <m:rPr>
                <m:nor/>
                <m:sty m:val="p"/>
              </m:rPr>
              <m:t>DAI</m:t>
            </m:r>
          </m:e>
          <m:sub>
            <m:r>
              <m:t>z</m:t>
            </m:r>
          </m:sub>
        </m:sSub>
      </m:oMath>
      <w:r>
        <w:t xml:space="preserve"> </w:t>
      </w:r>
      <w:r>
        <w:t xml:space="preserve">between 2009 and 2015 (z = 3.353, p &lt;.001)</w:t>
      </w:r>
      <w:r>
        <w:t xml:space="preserve"> </w:t>
      </w:r>
      <w:r>
        <w:t xml:space="preserve">and its recovery between 2015 and 2023 (z = -2.051, p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 Section 4.5 Panel G addresses one natural extension by re-estimating the pooled M2 / M7 / M8 specifications on manufacturing (sector1 ∈ {1, 2, 3}; N = 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for example, contrasting digitally</w:t>
      </w:r>
      <w:r>
        <w:t xml:space="preserve"> </w:t>
      </w:r>
      <w:r>
        <w:t xml:space="preserve">intensive services with traditional services, or contrasting export-oriented with domestically</w:t>
      </w:r>
      <w:r>
        <w:t xml:space="preserve"> </w:t>
      </w:r>
      <w:r>
        <w:t xml:space="preserve">oriented manufacturing sub-sectors,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negative at high export intensity under Tier-1-only adoption,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Section 2.1.</w:t>
      </w:r>
    </w:p>
    <w:bookmarkEnd w:id="71"/>
    <w:bookmarkStart w:id="72" w:name="conclusion"/>
    <w:p>
      <w:pPr>
        <w:pStyle w:val="Heading2"/>
      </w:pPr>
      <w:r>
        <w:t xml:space="preserve">7. Conclusion</w:t>
      </w:r>
    </w:p>
    <w:p>
      <w:pPr>
        <w:pStyle w:val="FirstParagraph"/>
      </w:pPr>
      <w:r>
        <w:t xml:space="preserve">This study revisits the internationalisation–performance relationship in Vietnam, treating foreign-technology / standards capability as the primary capability construct and retaining a single-item website-presence indicator only as a baseline digital-presence control. Comparing pooled with wave-specific evidence across the 2009 / 2015 / 2023 WBES waves lets it weigh the structural durability of the I–P threshold against the wave-level identification robustness of each capability dimension.</w:t>
      </w:r>
    </w:p>
    <w:p>
      <w:pPr>
        <w:pStyle w:val="BodyText"/>
      </w:pPr>
      <w:r>
        <w:t xml:space="preserve">The findings indicate that the internationalisation–performance relationship is non-monotonic in the full sample, that a participation-and-intensity structure drives the pattern rather than strong within-exporter curvature alone, and, critically, that the inverted-U turning point is structurally durable. The threshold range clusters within a narrow ~7-percentage-point band (39.3–46.2 %) across 14 years of major institutional change: WTO accession, the Global Financial Crisis, the COVID-19 supply-chain disruption, and the diffusion of digital-payment infrastructure. Such durability points to deep firm-level constraints, coordination capacity, contract enforcement, and trade-finance access, that move more slowly than the wider operating environment.</w:t>
      </w:r>
    </w:p>
    <w:p>
      <w:pPr>
        <w:pStyle w:val="BodyText"/>
      </w:pPr>
      <w:r>
        <w:t xml:space="preserve">The results also suggest that technological capability and the baseline website-presence indicator are not interchangeable, and that conflating them under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would obscure their differing identification properties. Technological capability is comparatively stable and identification-robust across specifications; the baseline</w:t>
      </w:r>
      <w:r>
        <w:t xml:space="preserve"> </w:t>
      </w:r>
      <m:oMath>
        <m:sSub>
          <m:e>
            <m:r>
              <m:rPr>
                <m:nor/>
                <m:sty m:val="p"/>
              </m:rPr>
              <m:t>DAI</m:t>
            </m:r>
          </m:e>
          <m:sub>
            <m:r>
              <m:t>z</m:t>
            </m:r>
          </m:sub>
        </m:sSub>
      </m:oMath>
      <w:r>
        <w:t xml:space="preserve"> </w:t>
      </w:r>
      <w:r>
        <w:t xml:space="preserve">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that are not currently available cross-wave in the WBES Vietnam instrument.</w:t>
      </w:r>
    </w:p>
    <w:bookmarkEnd w:id="72"/>
    <w:bookmarkStart w:id="73" w:name="conflict-of-interest"/>
    <w:p>
      <w:pPr>
        <w:pStyle w:val="Heading2"/>
      </w:pPr>
      <w:r>
        <w:t xml:space="preserve">Conflict of interest</w:t>
      </w:r>
    </w:p>
    <w:p>
      <w:pPr>
        <w:pStyle w:val="FirstParagraph"/>
      </w:pPr>
      <w:r>
        <w:t xml:space="preserve">The authors declare no conflict of interest.</w:t>
      </w:r>
    </w:p>
    <w:bookmarkEnd w:id="73"/>
    <w:bookmarkStart w:id="74"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4"/>
    <w:bookmarkStart w:id="75"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5"/>
    <w:bookmarkStart w:id="76"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6"/>
    <w:bookmarkStart w:id="77"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77"/>
    <w:bookmarkStart w:id="78"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8"/>
    <w:bookmarkStart w:id="79" w:name="references"/>
    <w:p>
      <w:pPr>
        <w:pStyle w:val="Heading2"/>
      </w:pPr>
      <w:r>
        <w:t xml:space="preserve">References</w:t>
      </w:r>
    </w:p>
    <w:p>
      <w:pPr>
        <w:pStyle w:val="FirstParagraph"/>
      </w:pPr>
      <w:r>
        <w:t xml:space="preserve">Agarwal, R., Barattieri, A., &amp; Mattoo, A. (2026).</w:t>
      </w:r>
      <w:r>
        <w:t xml:space="preserve"> </w:t>
      </w:r>
      <w:r>
        <w:rPr>
          <w:iCs/>
          <w:i/>
        </w:rPr>
        <w:t xml:space="preserve">Demand shocks, export expansion, and firm-level productivity: Evidence from Vietnamese manufacturers</w:t>
      </w:r>
      <w:r>
        <w:t xml:space="preserve"> </w:t>
      </w:r>
      <w:r>
        <w:t xml:space="preserve">(World Bank Policy Research Working Paper, forthcoming). The World Bank.</w:t>
      </w:r>
      <w:r>
        <w:t xml:space="preserve"> </w:t>
      </w: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r>
        <w:t xml:space="preserve"> </w:t>
      </w:r>
      <w:r>
        <w:t xml:space="preserve">Barattieri, A., Mattoo, A., &amp; Signoret, J. E. (2026).</w:t>
      </w:r>
      <w:r>
        <w:t xml:space="preserve"> </w:t>
      </w:r>
      <w:r>
        <w:rPr>
          <w:iCs/>
          <w:i/>
        </w:rPr>
        <w:t xml:space="preserve">Service trade liberalization and productivity growth: Micro-evidence from Vietnam, 2008–2016</w:t>
      </w:r>
      <w:r>
        <w:t xml:space="preserve"> </w:t>
      </w:r>
      <w:r>
        <w:t xml:space="preserve">(World Bank Policy Research Working Paper, forthcoming). The World Bank.</w:t>
      </w:r>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 https://doi.org/10.1257/jep.21.3.105</w:t>
      </w:r>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 https://doi.org/10.1057/jibs.2015.20</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 https://doi.org/10.1002/smj.2475</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 https://doi.org/10.1057/palgrave.jibs.8400390</w:t>
      </w:r>
      <w:r>
        <w:t xml:space="preserve"> </w:t>
      </w:r>
      <w:r>
        <w:t xml:space="preserve">Eisenhardt, K. M., &amp; Martin, J. A. (2000). Dynamic capabilities: What are they?</w:t>
      </w:r>
      <w:r>
        <w:t xml:space="preserve"> </w:t>
      </w:r>
      <w:r>
        <w:rPr>
          <w:iCs/>
          <w:i/>
        </w:rPr>
        <w:t xml:space="preserve">Strategic Management Journal, 21</w:t>
      </w:r>
      <w:r>
        <w:t xml:space="preserve">(10–11), 1105–1121. https://doi.org/10.1002/1097-0266(200010/11)21:10/11%3C1105::AID-SMJ133%3E3.0.CO;2-E</w:t>
      </w:r>
      <w:r>
        <w:t xml:space="preserve"> </w:t>
      </w:r>
      <w:r>
        <w:t xml:space="preserve">Goldfarb, A., &amp; Tucker, C. (2019). Digital economics.</w:t>
      </w:r>
      <w:r>
        <w:t xml:space="preserve"> </w:t>
      </w:r>
      <w:r>
        <w:rPr>
          <w:iCs/>
          <w:i/>
        </w:rPr>
        <w:t xml:space="preserve">Journal of Economic Literature, 57</w:t>
      </w:r>
      <w:r>
        <w:t xml:space="preserve">(1), 3–43. https://doi.org/10.1257/jel.20171452</w:t>
      </w:r>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r>
        <w:t xml:space="preserve"> </w:t>
      </w:r>
      <w:r>
        <w:t xml:space="preserve">Heckman, J. J. (1979). Sample selection bias as a specification error.</w:t>
      </w:r>
      <w:r>
        <w:t xml:space="preserve"> </w:t>
      </w:r>
      <w:r>
        <w:rPr>
          <w:iCs/>
          <w:i/>
        </w:rPr>
        <w:t xml:space="preserve">Econometrica, 47</w:t>
      </w:r>
      <w:r>
        <w:t xml:space="preserve">(1), 153–161. https://doi.org/10.2307/1912352</w:t>
      </w:r>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 https://doi.org/10.1002/gsj.8</w:t>
      </w:r>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 https://www.itu.int/en/ITU-D/Statistics/Pages/publications/wtid.aspx</w:t>
      </w:r>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r>
        <w:t xml:space="preserve"> </w:t>
      </w:r>
      <w:r>
        <w:t xml:space="preserve">Knight, G. A., &amp; Liesch, P. W. (2016). Internationalization: From incremental to born global.</w:t>
      </w:r>
      <w:r>
        <w:t xml:space="preserve"> </w:t>
      </w:r>
      <w:r>
        <w:rPr>
          <w:iCs/>
          <w:i/>
        </w:rPr>
        <w:t xml:space="preserve">Journal of World Business, 51</w:t>
      </w:r>
      <w:r>
        <w:t xml:space="preserve">(1), 93–102. https://doi.org/10.1016/j.jwb.2015.08.011</w:t>
      </w:r>
      <w:r>
        <w:t xml:space="preserve"> </w:t>
      </w:r>
      <w:r>
        <w:t xml:space="preserve">Lall, S. (1992). Technological capabilities and industrialization.</w:t>
      </w:r>
      <w:r>
        <w:t xml:space="preserve"> </w:t>
      </w:r>
      <w:r>
        <w:rPr>
          <w:iCs/>
          <w:i/>
        </w:rPr>
        <w:t xml:space="preserve">World Development, 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 https://doi.org/10.1057/s41267-019-00269-x</w:t>
      </w:r>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r>
        <w:t xml:space="preserve"> </w:t>
      </w:r>
      <w:r>
        <w:t xml:space="preserve">Prime Minister of Vietnam. (2020, June 3).</w:t>
      </w:r>
      <w:r>
        <w:t xml:space="preserve"> </w:t>
      </w:r>
      <w:r>
        <w:rPr>
          <w:iCs/>
          <w:i/>
        </w:rPr>
        <w:t xml:space="preserve">Decision No. 749/QD-TTg approving the</w:t>
      </w:r>
      <w:r>
        <w:rPr>
          <w:iCs/>
          <w:i/>
        </w:rPr>
        <w:t xml:space="preserve"> </w:t>
      </w:r>
      <w:r>
        <w:rPr>
          <w:iCs/>
          <w:i/>
        </w:rPr>
        <w:t xml:space="preserve">“</w:t>
      </w:r>
      <w:r>
        <w:rPr>
          <w:iCs/>
          <w:i/>
        </w:rPr>
        <w:t xml:space="preserve">National Digital Transformation Programme by 2025, with orientations towards 2030</w:t>
      </w:r>
      <w:r>
        <w:rPr>
          <w:iCs/>
          <w:i/>
        </w:rPr>
        <w:t xml:space="preserve">”</w:t>
      </w:r>
      <w:r>
        <w:t xml:space="preserve"> </w:t>
      </w:r>
      <w:r>
        <w:t xml:space="preserve">[Policy document]. Retrieved May 9, 2026, from https://english.luatvietnam.vn/decision-no-749-qd-ttg-on-approving-the-national-digital-transformation-program-until-2025-with-a-vision-184241-doc1.html</w:t>
      </w:r>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r>
        <w:t xml:space="preserve"> </w:t>
      </w:r>
      <w:r>
        <w:t xml:space="preserve">Staiger, D., &amp; Stock, J. H. (1997). Instrumental variables regression with weak instruments.</w:t>
      </w:r>
      <w:r>
        <w:t xml:space="preserve"> </w:t>
      </w:r>
      <w:r>
        <w:rPr>
          <w:iCs/>
          <w:i/>
        </w:rPr>
        <w:t xml:space="preserve">Econometrica, 65</w:t>
      </w:r>
      <w:r>
        <w:t xml:space="preserve">(3), 557–586. https://doi.org/10.2307/2171753</w:t>
      </w:r>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 https://doi.org/10.1108/MBR-05-2017-0028</w:t>
      </w:r>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https://doi.org/10.1002/gsj.1375</w:t>
      </w:r>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r>
        <w:t xml:space="preserve"> </w:t>
      </w:r>
      <w:r>
        <w:t xml:space="preserve">Vernon, R. (1979). The product cycle hypothesis in a new international environment.</w:t>
      </w:r>
      <w:r>
        <w:t xml:space="preserve"> </w:t>
      </w:r>
      <w:r>
        <w:rPr>
          <w:iCs/>
          <w:i/>
        </w:rPr>
        <w:t xml:space="preserve">Bulletin of Economics and Statistics, 41</w:t>
      </w:r>
      <w:r>
        <w:t xml:space="preserve">(4), 255–267. https://doi.org/10.1111/j.1468-0084.1979.mp41004002.x</w:t>
      </w:r>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 https://doi.org/10.1016/j.jsis.2019.01.003</w:t>
      </w:r>
      <w:r>
        <w:t xml:space="preserve"> </w:t>
      </w: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 https://www.enterprisesurveys.org/en/enterprisesurveys</w:t>
      </w:r>
      <w:r>
        <w:t xml:space="preserve"> </w:t>
      </w:r>
      <w:r>
        <w:t xml:space="preserve">World Bank. (2016).</w:t>
      </w:r>
      <w:r>
        <w:t xml:space="preserve"> </w:t>
      </w:r>
      <w:r>
        <w:rPr>
          <w:iCs/>
          <w:i/>
        </w:rPr>
        <w:t xml:space="preserve">Vietnam Enterprise Survey 2015: Data file</w:t>
      </w:r>
      <w:r>
        <w:t xml:space="preserve">. Enterprise Surveys, World Bank Group. Retrieved May 9, 2026, from https://www.enterprisesurveys.org/en/enterprisesurveys</w:t>
      </w:r>
      <w:r>
        <w:t xml:space="preserve"> </w:t>
      </w:r>
      <w:r>
        <w:t xml:space="preserve">World Bank. (2024).</w:t>
      </w:r>
      <w:r>
        <w:t xml:space="preserve"> </w:t>
      </w:r>
      <w:r>
        <w:rPr>
          <w:iCs/>
          <w:i/>
        </w:rPr>
        <w:t xml:space="preserve">Vietnam Enterprise Survey 2023: Data file</w:t>
      </w:r>
      <w:r>
        <w:t xml:space="preserve">. Enterprise Surveys, World Bank Group. Retrieved May 9, 2026, from https://www.enterprisesurveys.org/en/enterprisesurveys</w:t>
      </w:r>
      <w:r>
        <w:t xml:space="preserve"> </w:t>
      </w:r>
      <w:r>
        <w:t xml:space="preserve">World Bank. (2026).</w:t>
      </w:r>
      <w:r>
        <w:t xml:space="preserve"> </w:t>
      </w:r>
      <w:r>
        <w:rPr>
          <w:iCs/>
          <w:i/>
        </w:rPr>
        <w:t xml:space="preserve">World Development Indicators</w:t>
      </w:r>
      <w:r>
        <w:t xml:space="preserve"> </w:t>
      </w:r>
      <w:r>
        <w:t xml:space="preserve">[Data set]. Retrieved May 9, 2026, from https://databank.worldbank.org/source/world-development-indicators</w:t>
      </w:r>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 https://doi.org/10.1111/j.1467-6486.2005.00487.x</w:t>
      </w:r>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 https://doi.org/10.1007/s11575-022-00466-1</w:t>
      </w:r>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 https://doi.org/10.1016/j.jwb.2015.09.001</w:t>
      </w:r>
    </w:p>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2026-06-02T19:48:19Z</dcterms:created>
  <dcterms:modified xsi:type="dcterms:W3CDTF">2026-06-02T19:48:19Z</dcterms:modified>
</cp:coreProperties>
</file>

<file path=docProps/custom.xml><?xml version="1.0" encoding="utf-8"?>
<Properties xmlns="http://schemas.openxmlformats.org/officeDocument/2006/custom-properties" xmlns:vt="http://schemas.openxmlformats.org/officeDocument/2006/docPropsVTypes"/>
</file>