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Mục tiêu pool</w:t>
      </w:r>
      <w:r>
        <w:t xml:space="preserve">: ~172 effect-size units, tăng so với 200 effect sizes / 113 nghiên cứu trong bản nền.</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và 47,2% (2024)</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107 country-years</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2026-05-15T13:52:31Z</dcterms:created>
  <dcterms:modified xsi:type="dcterms:W3CDTF">2026-05-15T13:52:31Z</dcterms:modified>
</cp:coreProperties>
</file>

<file path=docProps/custom.xml><?xml version="1.0" encoding="utf-8"?>
<Properties xmlns="http://schemas.openxmlformats.org/officeDocument/2006/custom-properties" xmlns:vt="http://schemas.openxmlformats.org/officeDocument/2006/docPropsVTypes"/>
</file>