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chương-1-giới-thiệu"/>
    <w:p>
      <w:pPr>
        <w:pStyle w:val="Heading1"/>
      </w:pPr>
      <w:r>
        <w:t xml:space="preserve">CHƯƠNG 1: GIỚI THIỆU</w:t>
      </w:r>
    </w:p>
    <w:p>
      <w:r>
        <w:pict>
          <v:rect style="width:0;height:1.5pt" o:hralign="center" o:hrstd="t" o:hr="t"/>
        </w:pict>
      </w:r>
    </w:p>
    <w:bookmarkStart w:id="20" w:name="X13b13dcb632e299e7aab4c6eaebd9a76fa1beb2"/>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 "institutional voids" —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0"/>
    <w:bookmarkStart w:id="21" w:name="X53e2415d4fb45baf8cd2a412e42535181010810"/>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21"/>
    <w:bookmarkStart w:id="22" w:name="Xddd0cf747c0a67b01e6dbf6ccd3d5a26093524b"/>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41 nền kinh tế châu Á cộng với 6 nền kinh tế Pacific SIDS liền kề để kiểm định khả năng khái quát hóa của các phát hiện trên phạm vi rộng, kế thừa và mở rộng từ pool 17 nền kinh tế trong Đỗ và Phan (2026, VEFR).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22"/>
    <w:bookmarkStart w:id="23" w:name="X87fe9b92bff0b7de065d8ce9f99db45fc20ac37"/>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41 nền kinh tế và 6 nền kinh tế Pacific SIDS liền kề,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3"/>
    <w:bookmarkStart w:id="27" w:name="X65498bc8ca053915d52029abf6405df9e172fcf"/>
    <w:p>
      <w:pPr>
        <w:pStyle w:val="Heading2"/>
      </w:pPr>
      <w:r>
        <w:t xml:space="preserve">1.5 Đối tượng và phạm vi nghiên cứu</w:t>
      </w:r>
    </w:p>
    <w:bookmarkStart w:id="24" w:name="X8b3240eec70eb02636d2fdc8bdc1a88ab724461"/>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4"/>
    <w:bookmarkStart w:id="25" w:name="Xdda8bea219e201096fb69350311d81779178d86"/>
    <w:p>
      <w:pPr>
        <w:pStyle w:val="Heading3"/>
      </w:pPr>
      <w:r>
        <w:t xml:space="preserve">1.5.2 Phạm vi không gian</w:t>
      </w:r>
    </w:p>
    <w:p>
      <w:pPr>
        <w:pStyle w:val="FirstParagraph"/>
      </w:pPr>
      <w:r>
        <w:t xml:space="preserve">Phạm vi không gian chính của nghiên cứu bao gồm 41 nền kinh tế châu Á 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6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5"/>
    <w:bookmarkStart w:id="26" w:name="Xeaaa108478ee5a5cfd2730dcd2a679712e4d50e"/>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6"/>
    <w:bookmarkEnd w:id="27"/>
    <w:bookmarkStart w:id="28" w:name="X86a5b257fb89080e1266fb25f16d85a512b88ba"/>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8"/>
    <w:bookmarkStart w:id="29" w:name="X3c54937ab54b446680144131a3edf28950c0543"/>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 cụ thể là kinh nghiệm quốc tế và đa dạng giới tính — điều tiết dương quan hệ I–P thông qua cơ chế tăng cường nhận diện cơ hội và quản trị rủi ro. Chi tiết các giả thuyết H1–H6 được trình bày đầy đủ trong Chương 2 của luận án.</w:t>
      </w:r>
    </w:p>
    <w:p>
      <w:r>
        <w:pict>
          <v:rect style="width:0;height:1.5pt" o:hralign="center" o:hrstd="t" o:hr="t"/>
        </w:pict>
      </w:r>
    </w:p>
    <w:bookmarkEnd w:id="29"/>
    <w:bookmarkStart w:id="33" w:name="X39da0168eea83083f00ccda398c6ca752284a3b"/>
    <w:p>
      <w:pPr>
        <w:pStyle w:val="Heading2"/>
      </w:pPr>
      <w:r>
        <w:t xml:space="preserve">1.8 Ý nghĩa khoa học và thực tiễn</w:t>
      </w:r>
    </w:p>
    <w:bookmarkStart w:id="30" w:name="Xb13f208cd7e2a7b8ddfa14daa5f68945dc98c62"/>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 "data-augmented learning", phù hợp với xu hướng digitally-facilitated internationalization (Banalieva &amp; Dhanaraj, 2019; Yang et al., 2025).</w:t>
      </w:r>
    </w:p>
    <w:bookmarkEnd w:id="30"/>
    <w:bookmarkStart w:id="31" w:name="X3d1e24e5d7dc17cac50b0e64eb2b896b8e15054"/>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literature kinh doanh quốc tế.</w:t>
      </w:r>
    </w:p>
    <w:bookmarkEnd w:id="31"/>
    <w:bookmarkStart w:id="32" w:name="X0302103971dcdc6779b36845a96890c9d013149"/>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 "digital shield effect" — trong đó năng lực số làm giảm tác động tiêu cực của rào cản thể chế đối với doanh nghiệp quốc tế hóa (Đỗ &amp; Phan, 2026, VEFR). Cơ chế này được luận án kiểm định trên phạm vi rộng hơn với 41 nền kinh tế châu Á.</w:t>
      </w:r>
    </w:p>
    <w:p>
      <w:r>
        <w:pict>
          <v:rect style="width:0;height:1.5pt" o:hralign="center" o:hrstd="t" o:hr="t"/>
        </w:pict>
      </w:r>
    </w:p>
    <w:bookmarkEnd w:id="32"/>
    <w:bookmarkEnd w:id="33"/>
    <w:bookmarkStart w:id="34" w:name="X6442ea4641bb5af7be5e0a47286ea0a65645731"/>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6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41 nền kinh tế châu Á và 6 nền kinh tế Pacific SIDS liền kề, mở rộng đáng kể từ pool 17 nước (Đỗ &amp; Phan, 2026, VEFR)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w:t>
      </w:r>
    </w:p>
    <w:p>
      <w:r>
        <w:pict>
          <v:rect style="width:0;height:1.5pt" o:hralign="center" o:hrstd="t" o:hr="t"/>
        </w:pict>
      </w:r>
    </w:p>
    <w:bookmarkEnd w:id="34"/>
    <w:bookmarkStart w:id="35" w:name="X6c4b07320300cc108639920671c62ca27abf972"/>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47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(internationalization) được đo chủ yếu bằng tỷ lệ doanh thu nước ngoài trên tổng doanh thu (FSTS) hoặc export intensity; "hiệu quả hoạt động" (firm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bookmarkEnd w:id="35"/>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2026-05-15T13:52:37Z</dcterms:created>
  <dcterms:modified xsi:type="dcterms:W3CDTF">2026-05-15T13:52:37Z</dcterms:modified>
</cp:coreProperties>
</file>

<file path=docProps/custom.xml><?xml version="1.0" encoding="utf-8"?>
<Properties xmlns="http://schemas.openxmlformats.org/officeDocument/2006/custom-properties" xmlns:vt="http://schemas.openxmlformats.org/officeDocument/2006/docPropsVTypes"/>
</file>