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Đỗ &amp; Phan, 2026 — VEFR).</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(Đỗ &amp; Phan, 2026 — VEFR).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Nhật Bản, Hàn Quốc), Nhóm II (Advanced Resource-Driven, bao gồm các nền kinh tế vùng Vịnh), Nhóm III (Upper-middle, điển hình là Trung Quốc), Nhóm IV (Lower-middle transition, bao gồm Việt Nam và Ấn Độ), Nhóm V (Frontier), và Nhóm VI (Pacific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kỹ thuật số — bao gồm cả TCI và DAI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RBV do đó cung cấp nền lý thuyết trực tiếp cho giả thuyết H2 và H3 trong luận án về vai trò điều tiết của TCI và DAI.</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 nhất quán với các meta-analyses toàn cầu nhưng cụ thể hơn về bối cảnh châu Á.</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Đỗ và Phan (2026 — VEFR)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Đỗ và Phan (2026 — JFAR)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47 nền kinh tế (41 châu Á và 6 Pacific SIDS adjacent).</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Pacific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Đỗ và Phan (2026 — VEFR) là baseline lớn nhất hiện có trong literature về châu Á, nhưng vẫn chưa bao gồm các nền kinh tế frontier và Pacific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framework) — tên gọi nội bộ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r>
        <w:pict>
          <v:rect style="width:0;height:1.5pt" o:hralign="center" o:hrstd="t" o:hr="t"/>
        </w:pict>
      </w:r>
    </w:p>
    <w:bookmarkEnd w:id="36"/>
    <w:bookmarkStart w:id="44" w:name="X2e72411c23c34d41d1942bd5d4fbf8ae22da5d2"/>
    <w:p>
      <w:pPr>
        <w:pStyle w:val="Heading2"/>
      </w:pPr>
      <w:r>
        <w:t xml:space="preserve">2.5 Mô hình nghiên cứu và hệ giả thuyết</w:t>
      </w:r>
    </w:p>
    <w:bookmarkStart w:id="37"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(Đỗ &amp; Phan, 2026 — P8).</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39"/>
    <w:bookmarkStart w:id="40"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0"/>
    <w:bookmarkStart w:id="41"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1"/>
    <w:bookmarkStart w:id="42"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2"/>
    <w:bookmarkStart w:id="43"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Đỗ và Phan (2026 — JFAR)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3"/>
    <w:bookmarkEnd w:id="44"/>
    <w:bookmarkStart w:id="45"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5"/>
    <w:bookmarkEnd w:id="4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2026-05-15T13:52:38Z</dcterms:created>
  <dcterms:modified xsi:type="dcterms:W3CDTF">2026-05-15T13:52:38Z</dcterms:modified>
</cp:coreProperties>
</file>

<file path=docProps/custom.xml><?xml version="1.0" encoding="utf-8"?>
<Properties xmlns="http://schemas.openxmlformats.org/officeDocument/2006/custom-properties" xmlns:vt="http://schemas.openxmlformats.org/officeDocument/2006/docPropsVTypes"/>
</file>