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d494b1d34c58141b179120912d2f55e522d9b8f"/>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 đo bằng ln(doanh thu/lao động) —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1"/>
    <w:bookmarkStart w:id="22" w:name="X41765b9ba7c4d5303f63bdb143f647f62623bb9"/>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 "nhảy vọt số" (digital leapfrogging) ở SIDS: tỷ lệ website 58,9% vượt cả nhóm Emerging (49,2%) dù GNI thấp hơn đáng kể —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65431cc2ba8ea17b9f26c144a52de84c0b8508"/>
    <w:p>
      <w:pPr>
        <w:pStyle w:val="Heading2"/>
      </w:pPr>
      <w:r>
        <w:t xml:space="preserve">4.2 Kết quả tổng hợp định lượng —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235</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075</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5</m:t>
        </m:r>
        <m:r>
          <m:rPr>
            <m:sty m:val="p"/>
          </m:rPr>
          <m:t>%</m:t>
        </m:r>
      </m:oMath>
      <w:r>
        <w:t xml:space="preserve">, cho thấy mức dị biệt đáng kể trong tập hợp 235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7"/>
    <w:bookmarkStart w:id="28"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 cao:</w:t>
      </w:r>
      <w:r>
        <w:t xml:space="preserve"> </w:t>
      </w:r>
      <m:oMath>
        <m:sSub>
          <m:e>
            <m:r>
              <m:t>Q</m:t>
            </m:r>
          </m:e>
          <m:sub>
            <m:r>
              <m:t>M</m:t>
            </m:r>
          </m:sub>
        </m:sSub>
        <m:r>
          <m:rPr>
            <m:sty m:val="p"/>
          </m:rPr>
          <m:t>=</m:t>
        </m:r>
        <m:r>
          <m:t>127</m:t>
        </m:r>
        <m:r>
          <m:rPr>
            <m:sty m:val="p"/>
          </m:rPr>
          <m:t>,</m:t>
        </m:r>
        <m:r>
          <m:t>77</m:t>
        </m:r>
      </m:oMath>
      <w:r>
        <w:t xml:space="preserve">,</w:t>
      </w:r>
      <w:r>
        <w:t xml:space="preserve"> </w:t>
      </w:r>
      <m:oMath>
        <m:r>
          <m:t>d</m:t>
        </m:r>
        <m:r>
          <m:t>f</m:t>
        </m:r>
        <m:r>
          <m:rPr>
            <m:sty m:val="p"/>
          </m:rPr>
          <m:t>=</m:t>
        </m:r>
        <m:r>
          <m:t>4</m:t>
        </m:r>
      </m:oMath>
      <w:r>
        <w:t xml:space="preserve">,</w:t>
      </w:r>
      <w:r>
        <w:t xml:space="preserve"> </w:t>
      </w:r>
      <m:oMath>
        <m:r>
          <m:t>p</m:t>
        </m:r>
        <m:r>
          <m:rPr>
            <m:sty m:val="p"/>
          </m:rPr>
          <m:t>&lt;</m:t>
        </m:r>
        <m:r>
          <m:rPr>
            <m:sty m:val="p"/>
          </m:rPr>
          <m:t>,</m:t>
        </m:r>
        <m:r>
          <m:t>001</m:t>
        </m:r>
      </m:oMath>
      <w:r>
        <w:t xml:space="preserve">. Điều này xác nhận rằng chế độ thể chế — được phân loại thành sáu nhóm từ Advanced Innovation-Driven (Nhóm I: Singapore, Hong Kong, Đài Loan, Nhật Bản, Hàn Quốc) đến SIDS Thái Bình Dương (Nhóm VI) — là moderator có ý nghĩa thực sự cho mối quan hệ tổng hợp I→P trong văn liệu. Kiểm định</w:t>
      </w:r>
      <w:r>
        <w:t xml:space="preserve"> </w:t>
      </w:r>
      <m:oMath>
        <m:sSub>
          <m:e>
            <m:r>
              <m:t>Q</m:t>
            </m:r>
          </m:e>
          <m:sub>
            <m:r>
              <m:t>M</m:t>
            </m:r>
          </m:sub>
        </m:sSub>
      </m:oMath>
      <w:r>
        <w:t xml:space="preserve"> </w:t>
      </w:r>
      <w:r>
        <w:t xml:space="preserve">lớn hơn nhiều so với giá trị tới hạn,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8"/>
    <w:bookmarkStart w:id="29" w:name="X6516e6905b75b0313f9350803a09f8115a11764"/>
    <w:p>
      <w:pPr>
        <w:pStyle w:val="Heading3"/>
      </w:pPr>
      <w:r>
        <w:t xml:space="preserve">4.2.4 Kiểm định publication bias</w:t>
      </w:r>
    </w:p>
    <w:p>
      <w:pPr>
        <w:pStyle w:val="FirstParagraph"/>
      </w:pPr>
      <w:r>
        <w:t xml:space="preserve">Kiểm định Egger cho kết quả</w:t>
      </w:r>
      <w:r>
        <w:t xml:space="preserve"> </w:t>
      </w:r>
      <m:oMath>
        <m:r>
          <m:t>p</m:t>
        </m:r>
        <m:r>
          <m:rPr>
            <m:sty m:val="p"/>
          </m:rPr>
          <m:t>=</m:t>
        </m:r>
        <m:r>
          <m:rPr>
            <m:sty m:val="p"/>
          </m:rPr>
          <m:t>,</m:t>
        </m:r>
        <m:r>
          <m:t>31</m:t>
        </m:r>
      </m:oMath>
      <w:r>
        <w:t xml:space="preserve"> </w:t>
      </w:r>
      <w:r>
        <w:t xml:space="preserve">(không có ý nghĩa thống kê), tức không có bằng chứng về publication bias trong tập hợp 235 nghiên cứu. Phân tích trim-and-fill điều chỉnh ước lượng hiệu ứng từ</w:t>
      </w:r>
      <w:r>
        <w:t xml:space="preserve"> </w:t>
      </w:r>
      <m:oMath>
        <m:r>
          <m:t>r</m:t>
        </m:r>
        <m:r>
          <m:rPr>
            <m:sty m:val="p"/>
          </m:rPr>
          <m:t>=</m:t>
        </m:r>
        <m:r>
          <m:t>0</m:t>
        </m:r>
        <m:r>
          <m:rPr>
            <m:sty m:val="p"/>
          </m:rPr>
          <m:t>,</m:t>
        </m:r>
        <m:r>
          <m:t>075</m:t>
        </m:r>
      </m:oMath>
      <w:r>
        <w:t xml:space="preserve"> </w:t>
      </w:r>
      <w:r>
        <w:t xml:space="preserve">xuống</w:t>
      </w:r>
      <w:r>
        <w:t xml:space="preserve"> </w:t>
      </w:r>
      <m:oMath>
        <m:r>
          <m:t>r</m:t>
        </m:r>
        <m:r>
          <m:rPr>
            <m:sty m:val="p"/>
          </m:rPr>
          <m:t>=</m:t>
        </m:r>
        <m:r>
          <m:t>0</m:t>
        </m:r>
        <m:r>
          <m:rPr>
            <m:sty m:val="p"/>
          </m:rPr>
          <m:t>,</m:t>
        </m:r>
        <m:r>
          <m:t>068</m:t>
        </m:r>
      </m:oMath>
      <w:r>
        <w:t xml:space="preserve"> </w:t>
      </w:r>
      <w:r>
        <w:t xml:space="preserve">— mức điều chỉnh nhỏ (chưa đến 10%) và không làm thay đổi bất kỳ kết luận nào về chiều hướng hay ý nghĩa của quan hệ tổng hợp.</w:t>
      </w:r>
    </w:p>
    <w:p>
      <w:r>
        <w:pict>
          <v:rect style="width:0;height:1.5pt" o:hralign="center" o:hrstd="t" o:hr="t"/>
        </w:pict>
      </w:r>
    </w:p>
    <w:bookmarkEnd w:id="29"/>
    <w:bookmarkEnd w:id="30"/>
    <w:bookmarkStart w:id="34" w:name="X240e194458f5111df8410ba3e5077585e24446e"/>
    <w:p>
      <w:pPr>
        <w:pStyle w:val="Heading2"/>
      </w:pPr>
      <w:r>
        <w:t xml:space="preserve">4.3 Kết quả bối cảnh thể chế tiên tiến —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88,6%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5"/>
    <w:bookmarkStart w:id="36"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bcfd430554f00dbefbbe6cf2f35944b447a87b7"/>
    <w:p>
      <w:pPr>
        <w:pStyle w:val="Heading2"/>
      </w:pPr>
      <w:r>
        <w:t xml:space="preserve">4.5 Kết quả bối cảnh chuyển đổi bậc thấp—trung: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0"/>
    <w:bookmarkStart w:id="41"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1"/>
    <w:bookmarkStart w:id="42"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47"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với</w:t>
      </w:r>
      <w:r>
        <w:t xml:space="preserve"> </w:t>
      </w:r>
      <m:oMath>
        <m:r>
          <m:t>N</m:t>
        </m:r>
        <m:r>
          <m:rPr>
            <m:sty m:val="p"/>
          </m:rPr>
          <m:t>=</m:t>
        </m:r>
        <m:r>
          <m:t>36.137</m:t>
        </m:r>
      </m:oMath>
      <w:r>
        <w:rPr>
          <w:bCs/>
          <w:b/>
        </w:rPr>
        <w:t xml:space="preserve"> </w:t>
      </w:r>
      <w:r>
        <w:rPr>
          <w:bCs/>
          <w:b/>
        </w:rPr>
        <w:t xml:space="preserve">quan sát</w:t>
      </w:r>
      <w:r>
        <w:t xml:space="preserve"> </w:t>
      </w:r>
      <w:r>
        <w:t xml:space="preserve">(sau khi áp dụng bộ lọc nghiêm ngặt — "wstrict filter" loại bỏ các quan sát có missing data hoặc ngoại lệ cực đoan về FSTS). Mô hình M6 với country fixed effects và year fixed effects — cấu hình mạnh nhất về kiểm soát phương sai không quan sát — ước lượng turning point tổng thể (pooled):</w:t>
      </w:r>
    </w:p>
    <w:p>
      <w:pPr>
        <w:pStyle w:val="BodyText"/>
      </w:pPr>
      <m:oMathPara>
        <m:oMathParaPr>
          <m:jc m:val="center"/>
        </m:oMathParaPr>
        <m:oMath>
          <m:r>
            <m:rPr>
              <m:nor/>
              <m:sty m:val="p"/>
            </m:rPr>
            <m:t>TP</m:t>
          </m:r>
          <m:r>
            <m:rPr>
              <m:sty m:val="p"/>
            </m:rPr>
            <m:t>=</m:t>
          </m:r>
          <m:r>
            <m:t>52</m:t>
          </m:r>
          <m:r>
            <m:rPr>
              <m:sty m:val="p"/>
            </m:rPr>
            <m:t>,</m:t>
          </m:r>
          <m:r>
            <m:t>7</m:t>
          </m:r>
          <m:r>
            <m:rPr>
              <m:sty m:val="p"/>
            </m:rPr>
            <m:t>%</m:t>
          </m:r>
          <m:r>
            <m:rPr>
              <m:nor/>
              <m:sty m:val="p"/>
            </m:rPr>
            <m:t> FSTS</m:t>
          </m:r>
        </m:oMath>
      </m:oMathPara>
    </w:p>
    <w:bookmarkEnd w:id="44"/>
    <w:bookmarkStart w:id="45"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theo chiều từ nhóm thể chế thấp hơn đến nhóm thể chế cao hơn:</w:t>
      </w:r>
    </w:p>
    <w:p>
      <w:pPr>
        <w:pStyle w:val="BodyText"/>
      </w:pPr>
      <m:oMathPara>
        <m:oMathParaPr>
          <m:jc m:val="center"/>
        </m:oMathParaPr>
        <m:oMath>
          <m:r>
            <m:rPr>
              <m:nor/>
              <m:sty m:val="p"/>
            </m:rPr>
            <m:t>TP(Advanced Innovation)</m:t>
          </m:r>
          <m:r>
            <m:rPr>
              <m:sty m:val="p"/>
            </m:rPr>
            <m:t>&gt;</m:t>
          </m:r>
          <m:r>
            <m:rPr>
              <m:nor/>
              <m:sty m:val="p"/>
            </m:rPr>
            <m:t>TP(Advanced Resource)</m:t>
          </m:r>
          <m:r>
            <m:rPr>
              <m:sty m:val="p"/>
            </m:rPr>
            <m:t>&gt;</m:t>
          </m:r>
          <m:r>
            <m:rPr>
              <m:nor/>
              <m:sty m:val="p"/>
            </m:rPr>
            <m:t>TP(Upper-middle)</m:t>
          </m:r>
          <m:r>
            <m:rPr>
              <m:sty m:val="p"/>
            </m:rPr>
            <m:t>&gt;</m:t>
          </m:r>
          <m:r>
            <m:rPr>
              <m:nor/>
              <m:sty m:val="p"/>
            </m:rPr>
            <m:t>TP(Emerging/Lower-mid)</m:t>
          </m:r>
        </m:oMath>
      </m:oMathPara>
    </w:p>
    <w:p>
      <w:pPr>
        <w:pStyle w:val="FirstParagraph"/>
      </w:pPr>
      <w:r>
        <w:t xml:space="preserve">Gradient này nhất quán về chiều hướng với dự đoán từ Institutional Theory: môi trường thể chế chất lượng cao giúp doanh nghiệp duy trì tăng trưởng hiệu quả từ quốc tế hóa đến mức độ FSTS cao hơn trước khi chi phí phối hợp và bất định vượt qua lợi ích.</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127</m:t>
        </m:r>
        <m:r>
          <m:rPr>
            <m:sty m:val="p"/>
          </m:rPr>
          <m:t>,</m:t>
        </m:r>
        <m:r>
          <m:t>77</m:t>
        </m:r>
      </m:oMath>
      <w:r>
        <w:t xml:space="preserve">). Hai nguồn bằng chứng độc lập — meta-analytic và primary empirical — cùng chỉ ra gradient ICRV, tạo ra independent confirmation có giá trị.</w:t>
      </w:r>
    </w:p>
    <w:bookmarkEnd w:id="45"/>
    <w:bookmarkStart w:id="46"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w:t>
      </w:r>
      <m:oMath>
        <m:r>
          <m:t>p</m:t>
        </m:r>
        <m:r>
          <m:rPr>
            <m:sty m:val="p"/>
          </m:rPr>
          <m:t>&lt;</m:t>
        </m:r>
        <m:r>
          <m:rPr>
            <m:sty m:val="p"/>
          </m:rPr>
          <m:t>,</m:t>
        </m:r>
        <m:r>
          <m:t>05</m:t>
        </m:r>
      </m:oMath>
      <w:r>
        <w:t xml:space="preserve">), xác nhận H2.</w:t>
      </w:r>
    </w:p>
    <w:p>
      <w:pPr>
        <w:numPr>
          <w:ilvl w:val="0"/>
          <w:numId w:val="1003"/>
        </w:numPr>
        <w:pStyle w:val="Compact"/>
      </w:pPr>
      <w:r>
        <w:rPr>
          <w:bCs/>
          <w:b/>
        </w:rPr>
        <w:t xml:space="preserve">DAI</w:t>
      </w:r>
      <w:r>
        <w:t xml:space="preserve">: có ý nghĩa trong nhóm Advanced (Nhóm I và II), nhưng</w:t>
      </w:r>
      <w:r>
        <w:t xml:space="preserve"> </w:t>
      </w:r>
      <w:r>
        <w:rPr>
          <w:bCs/>
          <w:b/>
        </w:rPr>
        <w:t xml:space="preserve">không có ý nghĩa</w:t>
      </w:r>
      <w:r>
        <w:t xml:space="preserve"> </w:t>
      </w:r>
      <w:r>
        <w:t xml:space="preserve">trong nhóm Frontier (Nhóm V) và SIDS (Nhóm VI). Kết quả này nhất quán với lập luận lý thuyết rằng DAI chỉ phát huy vai trò điều tiết khi cơ sở hạ tầng số và hệ sinh thái số đã đủ trưởng thành.</w:t>
      </w:r>
    </w:p>
    <w:p>
      <w:r>
        <w:pict>
          <v:rect style="width:0;height:1.5pt" o:hralign="center" o:hrstd="t" o:hr="t"/>
        </w:pict>
      </w:r>
    </w:p>
    <w:bookmarkEnd w:id="46"/>
    <w:bookmarkEnd w:id="47"/>
    <w:bookmarkStart w:id="51" w:name="X148edf673f29f3cdc512225d99b03a9e67e1c42"/>
    <w:p>
      <w:pPr>
        <w:pStyle w:val="Heading2"/>
      </w:pPr>
      <w:r>
        <w:t xml:space="preserve">4.7 Kết quả trường hợp biên SIDS — Các nền kinh tế đảo nhỏ đang phát triển (P8)</w:t>
      </w:r>
    </w:p>
    <w:bookmarkStart w:id="48" w:name="Xe52dd8a4967ed07d68452ad9b61fc702a699611"/>
    <w:p>
      <w:pPr>
        <w:pStyle w:val="Heading3"/>
      </w:pPr>
      <w:r>
        <w:t xml:space="preserve">4.7.1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8"/>
    <w:bookmarkStart w:id="49"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9"/>
    <w:bookmarkStart w:id="50"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0"/>
    <w:bookmarkEnd w:id="51"/>
    <w:bookmarkStart w:id="52"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tại Việt Nam (M6), và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một phần: chỉ có ý nghĩa tại Singapore và nhóm Advanced trong P7; null tại Việt Nam và Frontier/SIDS</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 </w:t>
            </w:r>
            <w:r>
              <w:t xml:space="preserve">từ meta (P6) và gradient ICRV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2"/>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Hsieh, C.-T., &amp; Klenow, P. J. (2009). Misallocation and manufacturing TFP in China and India.</w:t>
      </w:r>
      <w:r>
        <w:t xml:space="preserve"> </w:t>
      </w:r>
      <w:r>
        <w:rPr>
          <w:iCs/>
          <w:i/>
        </w:rPr>
        <w:t xml:space="preserve">Quarterly Journal of Economics</w:t>
      </w:r>
      <w:r>
        <w:t xml:space="preserve">, 124(4),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w:t>
      </w:r>
      <w:r>
        <w:t xml:space="preserve">, 3(2),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w:t>
      </w:r>
      <w:r>
        <w:t xml:space="preserve">, 2(2),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w:t>
      </w:r>
      <w:r>
        <w:t xml:space="preserve">, 72(1),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3">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w:t>
      </w:r>
      <w:r>
        <w:t xml:space="preserve">, 31(5), 102003.</w:t>
      </w:r>
    </w:p>
    <w:p>
      <w:r>
        <w:pict>
          <v:rect style="width:0;height:1.5pt" o:hralign="center" o:hrstd="t" o:hr="t"/>
        </w:pict>
      </w:r>
    </w:p>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2026-05-15T13:52:38Z</dcterms:created>
  <dcterms:modified xsi:type="dcterms:W3CDTF">2026-05-15T13:52:38Z</dcterms:modified>
</cp:coreProperties>
</file>

<file path=docProps/custom.xml><?xml version="1.0" encoding="utf-8"?>
<Properties xmlns="http://schemas.openxmlformats.org/officeDocument/2006/custom-properties" xmlns:vt="http://schemas.openxmlformats.org/officeDocument/2006/docPropsVTypes"/>
</file>