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0.png" ContentType="image/png"/>
  <Override PartName="/word/media/rId58.png" ContentType="image/png"/>
  <Override PartName="/word/media/rId5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71f68986ebdedfa6a7fda36701097f5cdd5e3a2"/>
    <w:p>
      <w:pPr>
        <w:pStyle w:val="Heading1"/>
      </w:pPr>
      <w:r>
        <w:t xml:space="preserve">Institutional Context, Digital Adoption, and the Internationalization–Performance Relationship: A Three-Level Meta-Analysis</w:t>
      </w:r>
    </w:p>
    <w:p>
      <w:pPr>
        <w:pStyle w:val="FirstParagraph"/>
      </w:pPr>
      <w:r>
        <w:rPr>
          <w:bCs/>
          <w:b/>
        </w:rPr>
        <w:t xml:space="preserve">Đỗ Thị Thúy Hương</w:t>
      </w:r>
      <w:r>
        <w:t xml:space="preserve"> </w:t>
      </w:r>
      <w:r>
        <w:t xml:space="preserve">· Can Tho University / Huong Do Thi Thuy</w:t>
      </w:r>
      <w:r>
        <w:t xml:space="preserve"> </w:t>
      </w:r>
      <w:r>
        <w:rPr>
          <w:bCs/>
          <w:b/>
        </w:rPr>
        <w:t xml:space="preserve">Phan Anh Tú</w:t>
      </w:r>
      <w:r>
        <w:t xml:space="preserve"> </w:t>
      </w:r>
      <w:r>
        <w:t xml:space="preserve">· Can Tho University</w:t>
      </w:r>
    </w:p>
    <w:p>
      <w:pPr>
        <w:pStyle w:val="BodyText"/>
      </w:pPr>
      <w:r>
        <w:rPr>
          <w:iCs/>
          <w:i/>
        </w:rPr>
        <w:t xml:space="preserve">Manuscript prepared for: Management Review Quarterly (Springer; Scopus Q1, systematic reviews &amp; meta-analyses)</w:t>
      </w:r>
      <w:r>
        <w:t xml:space="preserve"> </w:t>
      </w:r>
      <w:r>
        <w:rPr>
          <w:iCs/>
          <w:i/>
        </w:rPr>
        <w:t xml:space="preserve">Version 1.0,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t xml:space="preserve">This study reports the first three-level meta-analytic regression analysis (MARA) of the internationalization–performance (I-P) relationship to test whether country-level digital adoption (cDAI), institutional context regime (ICRV), and Digital Paradox Lifecycle (DPL) phase moderate it. Following PRISMA 2020, a systematic review combining backward and forward citation tracking of five anchor meta-analyses with hand-search assembles an analyzed corpus of k = 238 studies and K = 288 effect sizes from 49 economies; a Web of Science and Scopus database search (1977–2026) was additionally conducted to scope a pre-registered expansion whose full-text extraction is ongoing. Three-level MARA decomposes within- and between-study heterogeneity using metafor, under OSF pre-registration with a pre-specified inter-coder reliability threshold of κ</w:t>
      </w:r>
      <w:r>
        <w:t xml:space="preserve"> </w:t>
      </w:r>
      <m:oMath>
        <m:r>
          <m:rPr>
            <m:sty m:val="p"/>
          </m:rPr>
          <m:t>≥</m:t>
        </m:r>
      </m:oMath>
      <w:r>
        <w:t xml:space="preserve"> </w:t>
      </w:r>
      <w:r>
        <w:t xml:space="preserve">0.70. The baseline pooled effect is r = .074 (95% CI [.060, .088], p &lt; .001;</w:t>
      </w:r>
      <w:r>
        <w:t xml:space="preserve"> </w:t>
      </w:r>
      <m:oMath>
        <m:sSup>
          <m:e>
            <m:r>
              <m:t>I</m:t>
            </m:r>
          </m:e>
          <m:sup>
            <m:r>
              <m:t>2</m:t>
            </m:r>
          </m:sup>
        </m:sSup>
      </m:oMath>
      <w:r>
        <w:t xml:space="preserve"> </w:t>
      </w:r>
      <w:r>
        <w:t xml:space="preserve">= 62.4%). The hypothesized moderators show limited support: the full-sample ICRV omnibus is significant (Q_M = 17.35, df = 4, p = .002) but is not robust, a drop-Frontier sensitivity test on the four well-populated regimes reduces it to non-significance (Q_M = 1.49, p = .68), while cDAI and DPL moderation are non-significant throughout. The most consequential result is substantial publication bias: trim-and-fill imputes k = 58 missing studies, cutting the pooled effect to r = .035 (95% CI [.023, .048]), an implied ~53% attenuation (Begg p &lt; .001; Egger p = .057). These findings reframe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global</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Cross-border expansion has become a central strategic priority for firms. Over the past three decades, outward foreign direct investment, export-oriented production, and global value chain participation grew sharply, turning internationalization from a strategy of large multinationals into a competitive option for firms across size classes and geographies (Dunning, 2000; Johanson &amp; Vahlne, 2009; Kafouros et al., 2012). Whether internationalization improves firm performance is therefore not only a scholarly question; it shapes investment decisions, government export-promotion policy, and the choices of firms competing in an interconnected global economy (Hitt et al., 2006; Lu &amp; Beamish, 2004). The record, however, remains inconclusive.</w:t>
      </w:r>
    </w:p>
    <w:p>
      <w:pPr>
        <w:pStyle w:val="BodyText"/>
      </w:pPr>
      <w:r>
        <w:t xml:space="preserve">The relationship between a firm’s degree of internationalization and its performance (the</w:t>
      </w:r>
      <w:r>
        <w:t xml:space="preserve"> </w:t>
      </w:r>
      <w:r>
        <w:t xml:space="preserve">“</w:t>
      </w:r>
      <w:r>
        <w:t xml:space="preserve">I-P relationship</w:t>
      </w:r>
      <w:r>
        <w:t xml:space="preserve">”</w:t>
      </w:r>
      <w:r>
        <w:t xml:space="preserve">)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m:oMath>
        <m:sSup>
          <m:e>
            <m:r>
              <m:t>I</m:t>
            </m:r>
          </m:e>
          <m:sup>
            <m:r>
              <m:t>2</m:t>
            </m:r>
          </m:sup>
        </m:sSup>
      </m:oMath>
      <w:r>
        <w:t xml:space="preserve"> </w:t>
      </w:r>
      <w:r>
        <w:t xml:space="preserve">regularly exceeds 80%, signaling that context, not a universal mechanism,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m:oMath>
        <m:sSup>
          <m:e>
            <m:r>
              <m:t>I</m:t>
            </m:r>
          </m:e>
          <m:sup>
            <m:r>
              <m:t>2</m:t>
            </m:r>
          </m:sup>
        </m:sSup>
      </m:oMath>
      <w:r>
        <w:t xml:space="preserve"> </w:t>
      </w:r>
      <w:r>
        <w:t xml:space="preserve">= 87.92%. While confirming the positive average effect, this baseline identified that conventional moderators, country of origin, industry, performance measure type, leave approximately 70% of variance unexplained. Three theoretically grounded moderators, absent from all prior meta-analyses, motivate the present extension:</w:t>
      </w:r>
    </w:p>
    <w:p>
      <w:pPr>
        <w:pStyle w:val="BodyText"/>
      </w:pPr>
      <w:r>
        <w:rPr>
          <w:bCs/>
          <w:b/>
        </w:rPr>
        <w:t xml:space="preserve">Gap 1,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ICRV 6-regime.</w:t>
      </w:r>
      <w:r>
        <w:t xml:space="preserve"> </w:t>
      </w:r>
      <w:r>
        <w:t xml:space="preserve">Marano et al. (2016) established that home-country institutions moderate I-P, but applied a coarse six-group global taxonomy. The global study corpus spans the full institutional spectrum, from Singapore (World Governance Indicators Rule of Law score +1.84) to frontier economies such as Pakistan (WGI −0.55) and Iran (WGI −0.74; World Bank, 2023). An ICRV 6-regime classification (Regimes I–VI, where Regime VI is the Pacific SIDS boundary case) capable of resolving this heterogeneity has not been tested meta-analytically on a globally representative I-P corpus.</w:t>
      </w:r>
    </w:p>
    <w:p>
      <w:pPr>
        <w:pStyle w:val="BodyText"/>
      </w:pPr>
      <w:r>
        <w:rPr>
          <w:bCs/>
          <w:b/>
        </w:rPr>
        <w:t xml:space="preserve">Gap 3, DPL phase.</w:t>
      </w:r>
      <w:r>
        <w:t xml:space="preserve"> </w:t>
      </w:r>
      <w:r>
        <w:t xml:space="preserve">Brynjolfsson et al. (2021) identified 2009 as a productivity inflection point in the digital era (the</w:t>
      </w:r>
      <w:r>
        <w:t xml:space="preserve"> </w:t>
      </w:r>
      <w:r>
        <w:t xml:space="preserve">“</w:t>
      </w:r>
      <w:r>
        <w:t xml:space="preserve">dynamo analogy</w:t>
      </w:r>
      <w:r>
        <w:t xml:space="preserve">”</w:t>
      </w:r>
      <w:r>
        <w:t xml:space="preserve"> </w:t>
      </w:r>
      <w:r>
        <w:t xml:space="preserve">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6-regime framework applied to a globally representative I-P corpus (</w:t>
      </w:r>
      <w:r>
        <w:rPr>
          <w:iCs/>
          <w:i/>
        </w:rPr>
        <w:t xml:space="preserve">k</w:t>
      </w:r>
      <w:r>
        <w:t xml:space="preserve"> </w:t>
      </w:r>
      <w:r>
        <w:t xml:space="preserve">= 238, 49 economies; five of the six regimes are populated, the Pacific-SIDS Regime VI returning no qualifying studies); (5) first formal test of cDAI as a national-level digital-infrastructure moderator of I-P; (6) first test of DPL phase as a temporal moderator using three-level MARA. The non-confirmation of E1a/E1b, H2, and H3, and the anomalous ICRV Frontier pattern, are themselves informative findings that bound the conditions under which these moderators could operate. Interpreted together, the null country-level digital (cDAI) and temporal (DPL) moderators motivate a</w:t>
      </w:r>
      <w:r>
        <w:t xml:space="preserve"> </w:t>
      </w:r>
      <w:r>
        <w:rPr>
          <w:iCs/>
          <w:i/>
        </w:rPr>
        <w:t xml:space="preserve">Capability–Context Mismatch</w:t>
      </w:r>
      <w:r>
        <w:t xml:space="preserve"> </w:t>
      </w:r>
      <w:r>
        <w:t xml:space="preserve">account: a macro digital context is inert for the I-P relationship unless it is matched by firm-level (micro) digital capability, the macro environment cannot substitute for the absence of the firm-level capability that actually converts it.</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 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 0.07,</w:t>
      </w:r>
      <w:r>
        <w:t xml:space="preserve"> </w:t>
      </w:r>
      <w:r>
        <w:rPr>
          <w:iCs/>
          <w:i/>
        </w:rPr>
        <w:t xml:space="preserve">k</w:t>
      </w:r>
      <w:r>
        <w:t xml:space="preserve"> </w:t>
      </w:r>
      <w:r>
        <w:t xml:space="preserve">= 113), confirming a small but consistent positive I-P relationship globally. The full-sample ICRV omnibus is significant (</w:t>
      </w:r>
      <w:r>
        <w:rPr>
          <w:iCs/>
          <w:i/>
        </w:rPr>
        <w:t xml:space="preserve">Q</w:t>
      </w:r>
      <w:r>
        <w:t xml:space="preserve">_M = 17.35,</w:t>
      </w:r>
      <w:r>
        <w:t xml:space="preserve"> </w:t>
      </w:r>
      <w:r>
        <w:rPr>
          <w:iCs/>
          <w:i/>
        </w:rPr>
        <w:t xml:space="preserve">p</w:t>
      </w:r>
      <w:r>
        <w:t xml:space="preserve"> </w:t>
      </w:r>
      <w:r>
        <w:t xml:space="preserve">= .002) but is not robust: a drop-Frontier sensitivity test on the four well-populated regimes reduces it to</w:t>
      </w:r>
      <w:r>
        <w:t xml:space="preserve"> </w:t>
      </w:r>
      <w:r>
        <w:rPr>
          <w:iCs/>
          <w:i/>
        </w:rPr>
        <w:t xml:space="preserve">Q</w:t>
      </w:r>
      <w:r>
        <w:t xml:space="preserve">_M = 1.49 (</w:t>
      </w:r>
      <w:r>
        <w:rPr>
          <w:iCs/>
          <w:i/>
        </w:rPr>
        <w:t xml:space="preserve">p</w:t>
      </w:r>
      <w:r>
        <w:t xml:space="preserve"> </w:t>
      </w:r>
      <w:r>
        <w:t xml:space="preserve">= .68), so H1 receives only fragile support and the directional Exploratory Propositions E1a (Advanced largest) and E1b (Frontier smallest) are not confirmed.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(H2, H3 not supported). The principal finding is publication bias (H4 confirmed):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0.074 to</w:t>
      </w:r>
      <w:r>
        <w:t xml:space="preserve"> </w:t>
      </w:r>
      <w:r>
        <w:rPr>
          <w:iCs/>
          <w:i/>
        </w:rPr>
        <w:t xml:space="preserve">r</w:t>
      </w:r>
      <w:r>
        <w:t xml:space="preserve"> </w:t>
      </w:r>
      <w:r>
        <w:t xml:space="preserve">= 0.035, an implied ~53% attenuation. Read as a corrective contribution to the field, this indicates that four decades of I-P evidence may be materially inflated by publication selection. The inference is a bias-correction estimate corroborated by a significant Begg test (</w:t>
      </w:r>
      <m:oMath>
        <m:r>
          <m:t>τ</m:t>
        </m:r>
      </m:oMath>
      <w:r>
        <w:t xml:space="preserve"> </w:t>
      </w:r>
      <w:r>
        <w:t xml:space="preserve">= −0.134,</w:t>
      </w:r>
      <w:r>
        <w:t xml:space="preserve"> </w:t>
      </w:r>
      <w:r>
        <w:rPr>
          <w:iCs/>
          <w:i/>
        </w:rPr>
        <w:t xml:space="preserve">p</w:t>
      </w:r>
      <w:r>
        <w:t xml:space="preserve"> </w:t>
      </w:r>
      <w:r>
        <w:t xml:space="preserve">&lt; .001); because Egger’s regression is only borderline (</w:t>
      </w:r>
      <w:r>
        <w:rPr>
          <w:iCs/>
          <w:i/>
        </w:rPr>
        <w:t xml:space="preserve">p</w:t>
      </w:r>
      <w:r>
        <w:t xml:space="preserve"> </w:t>
      </w:r>
      <w:r>
        <w:t xml:space="preserve">= .057), we frame the ~53% as a strong directional signal rather than a settled point magnitude. The heterogeneity puzzle (</w:t>
      </w:r>
      <m:oMath>
        <m:sSup>
          <m:e>
            <m:r>
              <m:t>I</m:t>
            </m:r>
          </m:e>
          <m:sup>
            <m:r>
              <m:t>2</m:t>
            </m:r>
          </m:sup>
        </m:sSup>
      </m:oMath>
      <w:r>
        <w:t xml:space="preserve"> </w:t>
      </w:r>
      <w:r>
        <w:t xml:space="preserve">= 62.4%) remains unresolved by the tested moderators, suggesting that future research should test alternative theoretical contingencies or that between-study heterogeneity is dominated by within-paper variance (Level 2, 54.1%) rather than between-country differences (Level 3, 8.4%).</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31" w:name="theoretical-framework-and-hypotheses"/>
    <w:p>
      <w:pPr>
        <w:pStyle w:val="Heading2"/>
      </w:pPr>
      <w:r>
        <w:t xml:space="preserve">2. Theoretical Framework and Hypotheses</w:t>
      </w:r>
    </w:p>
    <w:bookmarkStart w:id="22" w:name="foundation-theories"/>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including human capital, technological capability, and digital infrastructure access, will generate higher performance returns from international expansion than resource-constrained peers. Wernerfelt’s (1984) resource bundling logic further predicts that national digital infrastructure provides a coordination-enabling environment that amplifies the returns to firm-level resources: in high-cDAI environments, firms can deploy their existing technological and organizational capabilities across borders at lower per-unit cost, raising the marginal productivity return to each additional unit of international expansion. cDAI (country-level) is analytically distinct from firm-level digital adoption (DAI) and from firm-level technological capability (TCI), which the companion primary studies (P3–P8) treat as separate constructs with distinct measurement bases and theoretical roles. In the present meta-analytic study, only cDAI is operationalized as a study-level moderator; DAI and TCI remain within-study variables in the primary-study designs and are not separately extractable at meta-analytic resolution from the k = 238 corpus. The resource-bundling prediction for P6 therefore concerns whether a richer national digital environment raises the aggregate I-P effect across studies, a between-study moderation claim at the country level, not a within-study claim about firm-level capability bundles.</w:t>
      </w:r>
    </w:p>
    <w:p>
      <w:pPr>
        <w:pStyle w:val="BodyText"/>
      </w:pPr>
      <w:r>
        <w:rPr>
          <w:bCs/>
          <w:b/>
        </w:rPr>
        <w:t xml:space="preserve">Institutional Theory.</w:t>
      </w:r>
      <w:r>
        <w:t xml:space="preserve"> </w:t>
      </w:r>
      <w:r>
        <w:t xml:space="preserve">North’s (1990) framework positions formal and informal institutions as the</w:t>
      </w:r>
      <w:r>
        <w:t xml:space="preserve"> </w:t>
      </w:r>
      <w:r>
        <w:t xml:space="preserve">“</w:t>
      </w:r>
      <w:r>
        <w:t xml:space="preserve">rules of the game</w:t>
      </w:r>
      <w:r>
        <w:t xml:space="preserve">”</w:t>
      </w:r>
      <w:r>
        <w:t xml:space="preserve"> </w:t>
      </w:r>
      <w:r>
        <w:t xml:space="preserve">that govern transaction costs. In the I-P context, higher institutional quality, measured through rule of law, contract enforcement, IP protection, and regulatory quality,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real-time digital communication across time zones reduces the bandwidth cost of coordinating dispersed operations; (b)</w:t>
      </w:r>
      <w:r>
        <w:t xml:space="preserve"> </w:t>
      </w:r>
      <w:r>
        <w:rPr>
          <w:iCs/>
          <w:i/>
        </w:rPr>
        <w:t xml:space="preserve">transaction cost reduction</w:t>
      </w:r>
      <w:r>
        <w:t xml:space="preserve">, electronic payment systems and digital contracting reduce the cost and time of cross-border transactions; (c)</w:t>
      </w:r>
      <w:r>
        <w:t xml:space="preserve"> </w:t>
      </w:r>
      <w:r>
        <w:rPr>
          <w:iCs/>
          <w:i/>
        </w:rPr>
        <w:t xml:space="preserve">information asymmetry compression</w:t>
      </w:r>
      <w:r>
        <w:t xml:space="preserve">, digital analytics platforms reduce the monitoring cost of verifying foreign partner performance. When national digital infrastructure is mature (high cDAI), all three channels operate simultaneously, predicting that the coordination cost mechanism, which generates the right-side decline of the inverted-U,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the layers most widely measured in firm-level surveys,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a between-study moderation claim, not a within-study mediation claim.</w:t>
      </w:r>
    </w:p>
    <w:bookmarkEnd w:id="22"/>
    <w:bookmarkStart w:id="23" w:name="X772aae5f967000260143b5df2cce415e62452ba"/>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the costs incurred by foreign firms that domestic rivals do not bear,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environments where formal institutions are weak or absent,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to III to SIDS/V), these substitute governance costs accumulate, progressively depressing the I-P effect toward zero and potentially negative territory.</w:t>
      </w:r>
    </w:p>
    <w:p>
      <w:pPr>
        <w:pStyle w:val="BodyText"/>
      </w:pPr>
      <w:r>
        <w:t xml:space="preserve">CIMT predicts between-regime heterogeneity in I-P effect sizes, with Advanced-regime studies expected to show the largest effects because all three CIMT mechanisms operate simultaneously at the institutional frontier. Prior meta-analyses have not adequately tested this institutional gradient because they lacked a fine-grained taxonomy that disaggregates the spectrum from Advanced Innovation economies to Frontier and SIDS contexts at sufficient resolution. Marano et al. (2016) used a six-category global classification that did not separate the Advanced/Upper-Middle/Emerging/Frontier spectrum examined here. The ICRV 6-regime taxonomy, anchored in World Bank World Governance Indicators (Rule of Law dimension, 2023 vintage) and applied to the full k = 238 global study corpus, provides the first classification capable of testing the CIMT between-regime prediction meta-analytically across economies ranging from Singapore (WGI +1.84) to Pakistan (WGI −0.55) and Iran (WGI −0.74).</w:t>
      </w:r>
    </w:p>
    <w:p>
      <w:pPr>
        <w:pStyle w:val="BodyText"/>
      </w:pPr>
      <w:r>
        <w:rPr>
          <w:bCs/>
          <w:b/>
        </w:rPr>
        <w:t xml:space="preserve">Hypothesis 1 (H1, ICRV between-regime heterogeneity):</w:t>
      </w:r>
      <w:r>
        <w:t xml:space="preserve"> </w:t>
      </w:r>
      <w:r>
        <w:t xml:space="preserve">Pooled I-P effect sizes vary systematically across ICRV institutional regimes, with Advanced-regime studies expected to show the largest average effects, because formal institutions, contract enforcement, IP protection, and reduced liability of foreignness, amplify the productivity returns to international expansion through rent protection, LOF attenuation, and void-cost reduction (Khanna &amp; Palepu, 2010; North, 1990; Zaheer, 1995). Formally: the between-regime Q_M test for ICRV is statistically significant (</w:t>
      </w:r>
      <w:r>
        <w:rPr>
          <w:iCs/>
          <w:i/>
        </w:rPr>
        <w:t xml:space="preserve">p</w:t>
      </w:r>
      <w:r>
        <w:t xml:space="preserve"> </w:t>
      </w:r>
      <w:r>
        <w:t xml:space="preserve">&lt; .05), and the point estimate for Advanced-regime studies (ICRV-I) exceeds those for Emerging (ICRV-III) and Mixed-regime (MX) studies. The directional ordering among Frontier studies (ICRV-FR) is treated as an exploratory question pending adequate</w:t>
      </w:r>
      <w:r>
        <w:t xml:space="preserve"> </w:t>
      </w:r>
      <w:r>
        <w:rPr>
          <w:iCs/>
          <w:i/>
        </w:rPr>
        <w:t xml:space="preserve">k</w:t>
      </w:r>
      <w:r>
        <w:t xml:space="preserve"> </w:t>
      </w:r>
      <w:r>
        <w:t xml:space="preserve">in that group (see Exploratory Propositions 1a–1b).</w:t>
      </w:r>
    </w:p>
    <w:p>
      <w:pPr>
        <w:pStyle w:val="BodyText"/>
      </w:pPr>
      <w:r>
        <w:rPr>
          <w:iCs/>
          <w:i/>
        </w:rPr>
        <w:t xml:space="preserve">Exploratory Proposition 1a (E1a):</w:t>
      </w:r>
      <w:r>
        <w:t xml:space="preserve"> </w:t>
      </w:r>
      <w:r>
        <w:t xml:space="preserve">Studies drawing on Advanced-regime firms (ICRV-I) are expected to show the largest pooled I-P effect, reflecting simultaneous activation of the three CIMT rent-protection, LOF-attenuation, and void-elimination mechanisms. The direction of E1a is confirmatory; the magnitude is not pre-specified given heterogeneity in DOI measurement and performance construct across ICRV-I studies.</w:t>
      </w:r>
    </w:p>
    <w:p>
      <w:pPr>
        <w:pStyle w:val="BodyText"/>
      </w:pPr>
      <w:r>
        <w:rPr>
          <w:iCs/>
          <w:i/>
        </w:rPr>
        <w:t xml:space="preserve">Exploratory Proposition 1b (E1b):</w:t>
      </w:r>
      <w:r>
        <w:t xml:space="preserve"> </w:t>
      </w:r>
      <w:r>
        <w:t xml:space="preserve">Studies drawing on Frontier-regime firms (ICRV-FR) are expected to show the smallest, potentially null or negative, pooled I-P effect, reflecting the dominance of institutional void amplification costs over scale and learning returns. E1b is treated as exploratory rather than confirmatory because current Frontier-group</w:t>
      </w:r>
      <w:r>
        <w:t xml:space="preserve"> </w:t>
      </w:r>
      <w:r>
        <w:rPr>
          <w:iCs/>
          <w:i/>
        </w:rPr>
        <w:t xml:space="preserve">k</w:t>
      </w:r>
      <w:r>
        <w:t xml:space="preserve"> </w:t>
      </w:r>
      <w:r>
        <w:t xml:space="preserve">= 3 is insufficient for reliable inference (at</w:t>
      </w:r>
      <w:r>
        <w:t xml:space="preserve"> </w:t>
      </w:r>
      <m:oMath>
        <m:r>
          <m:t>α</m:t>
        </m:r>
      </m:oMath>
      <w:r>
        <w:t xml:space="preserve"> </w:t>
      </w:r>
      <w:r>
        <w:t xml:space="preserve">= .05, minimum k for stable random-effects moderation is typically k</w:t>
      </w:r>
      <w:r>
        <w:t xml:space="preserve"> </w:t>
      </w:r>
      <m:oMath>
        <m:r>
          <m:rPr>
            <m:sty m:val="p"/>
          </m:rPr>
          <m:t>≥</m:t>
        </m:r>
      </m:oMath>
      <w:r>
        <w:t xml:space="preserve"> </w:t>
      </w:r>
      <w:r>
        <w:t xml:space="preserve">10; Valentine et al., 2010).</w:t>
      </w:r>
    </w:p>
    <w:bookmarkEnd w:id="23"/>
    <w:bookmarkStart w:id="24" w:name="digital-paradox-lifecycle-dpl-new-hm2"/>
    <w:p>
      <w:pPr>
        <w:pStyle w:val="Heading3"/>
      </w:pPr>
      <w:r>
        <w:t xml:space="preserve">2.3 Digital Paradox Lifecycle (DPL,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in organizational practices, worker skills, and infrastructure,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r>
        <w:t xml:space="preserve"> </w:t>
      </w:r>
      <w:r>
        <w:t xml:space="preserve">-</w:t>
      </w:r>
      <w:r>
        <w:t xml:space="preserve"> </w:t>
      </w: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r>
        <w:t xml:space="preserve"> </w:t>
      </w:r>
      <w:r>
        <w:t xml:space="preserve">-</w:t>
      </w:r>
      <w:r>
        <w:t xml:space="preserve"> </w:t>
      </w: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r>
        <w:t xml:space="preserve"> </w:t>
      </w:r>
      <w:r>
        <w:t xml:space="preserve">-</w:t>
      </w:r>
      <w:r>
        <w:t xml:space="preserve"> </w:t>
      </w:r>
      <w:r>
        <w:rPr>
          <w:bCs/>
          <w:b/>
        </w:rPr>
        <w:t xml:space="preserve">Follow</w:t>
      </w:r>
      <w:r>
        <w:t xml:space="preserve"> </w:t>
      </w:r>
      <w:r>
        <w:t xml:space="preserve">(data collected predominantly after 2014): Digital platforms, including cloud-based logistics, B2B e-commerce, electronic payment systems, and digital trade finance,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BodyText"/>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global inflection point for digital adoption in trade-oriented economies rather than an arbitrary choice; the Asia-Pacific region, home to 52% of the k = 238 corpus, was a primary site of this diffusion.</w:t>
      </w:r>
    </w:p>
    <w:p>
      <w:pPr>
        <w:pStyle w:val="BodyText"/>
      </w:pPr>
      <w:r>
        <w:rPr>
          <w:bCs/>
          <w:b/>
        </w:rPr>
        <w:t xml:space="preserve">Hypothesis 2 (H2, DPL phase):</w:t>
      </w:r>
      <w:r>
        <w:t xml:space="preserve"> </w:t>
      </w:r>
      <w:r>
        <w:t xml:space="preserve">Studies drawing predominantly on post-2014 data (DPL Follow phase) are expected to show larger pooled I-P effects than studies drawing on pre-2009 data (DPL Precede phase), because digital platforms had reached the maturity threshold at which coordination-cost compression systematically raises the net productivity return to international expansion (Brynjolfsson et al., 2021; David, 1990). Span-phase studies (data spanning 2005–2014) are expected to show intermediate effects, reflecting the transitional period in which digital infrastructure was building but complementary organizational 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 This prediction is bounded by the Brynjolfsson et al. (2021) J-curve logic: even if the DPL effect is real, the statistical precision of the</w:t>
      </w:r>
      <w:r>
        <w:t xml:space="preserve"> </w:t>
      </w:r>
      <w:r>
        <w:rPr>
          <w:iCs/>
          <w:i/>
        </w:rPr>
        <w:t xml:space="preserve">Q</w:t>
      </w:r>
      <w:r>
        <w:t xml:space="preserve">_M test depends on within-phase k and cross-phase variance in effect sizes, below approximately k = 30 per phase, the between-group test is underpowered for detection of moderate-size moderation (</w:t>
      </w:r>
      <m:oMath>
        <m:sSup>
          <m:e>
            <m:r>
              <m:t>f</m:t>
            </m:r>
          </m:e>
          <m:sup>
            <m:r>
              <m:t>2</m:t>
            </m:r>
          </m:sup>
        </m:sSup>
      </m:oMath>
      <w:r>
        <w:t xml:space="preserve"> </w:t>
      </w:r>
      <w:r>
        <w:t xml:space="preserve">&lt; 0.10).</w:t>
      </w:r>
    </w:p>
    <w:bookmarkEnd w:id="24"/>
    <w:bookmarkStart w:id="25" w:name="cdai-as-amplifier-hm3"/>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cDAI amplification):</w:t>
      </w:r>
      <w:r>
        <w:t xml:space="preserve"> </w:t>
      </w:r>
      <w:r>
        <w:t xml:space="preserve">Studies drawing on samples from high-cDAI national contexts are expected to show larger pooled I-P 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 .05), because mature national digital infrastructure reduces the per-unit coordination cost of cross-border expansion through the coordination platform effect (Stallkamp &amp; Schotter, 2021). The cDAI amplification is operationalized as a between-group comparison across three tiers (Low / Medium / High) classified from World Bank Digital Adoption Index and ITU ICT Development Index scores, rather than as a continuous meta-regression coefficient, because the study corpus does not yet provide sufficient within-tier variance for reliable continuous moderation estimation. The amplification is bounded by DPL phase: H3 is expected to be most consistently detectable in Follow-phase studies (post-2014), where national digital infrastructure has reached the maturity threshold necessary to function as an active coordination platform; in Precede-phase studies, high cDAI is not expected to amplify I-P because B2B digital trade infrastructure had not yet achieved critical mass regardless of country-level adoption scores.</w:t>
      </w:r>
    </w:p>
    <w:bookmarkEnd w:id="25"/>
    <w:bookmarkStart w:id="26" w:name="publication-bias-as-null-hypothesis"/>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Publication bias):</w:t>
      </w:r>
      <w:r>
        <w:t xml:space="preserve"> </w:t>
      </w:r>
      <w:r>
        <w:t xml:space="preserve">Selective reporting of statistically significant positive I-P results is expected to inflate the raw pooled effect relative to the true underlying population effect, because positive results are more likely to be published in the I-P literature (Borenstein et al., 2021; Dickersin, 1990). Three directional predictions follow: (H4a) Funnel-plot asymmetry tests (Egger’s regression intercept, Begg’s rank correlation) are expected to be statistically significant, indicating that smaller-sample studies show disproportionately large positive effects relative to the regression-estimated pooled mean; (H4b) Duval and Tweedie’s (2000) trim-and-fill procedure is expected to impute missing studies on the left side of the funnel (suppressed null/negative results) and produce a bias-adjusted pooled estimate (</w:t>
      </w:r>
      <w:r>
        <w:rPr>
          <w:iCs/>
          <w:i/>
        </w:rPr>
        <w:t xml:space="preserve">r̄</w:t>
      </w:r>
      <w:r>
        <w:t xml:space="preserve">_adj) that is smaller than the raw estimate but remains positive (</w:t>
      </w:r>
      <w:r>
        <w:rPr>
          <w:iCs/>
          <w:i/>
        </w:rPr>
        <w:t xml:space="preserve">r̄</w:t>
      </w:r>
      <w:r>
        <w:t xml:space="preserve">_adj &gt; 0); (H4c) Orwin’s (1983) fail-safe N is expected to substantially exceed the threshold of 2,000 studies required to reduce the pooled effect to a negligible level, confirming that the positive I-P effect is not an artifact of publication bias alone.</w:t>
      </w:r>
    </w:p>
    <w:bookmarkEnd w:id="26"/>
    <w:bookmarkStart w:id="30" w:name="conceptual-model"/>
    <w:p>
      <w:pPr>
        <w:pStyle w:val="Heading3"/>
      </w:pPr>
      <w:r>
        <w:t xml:space="preserve">2.6 Conceptual Model</w:t>
      </w:r>
    </w:p>
    <w:p>
      <w:pPr>
        <w:pStyle w:val="CaptionedFigure"/>
      </w:pPr>
      <w:r>
        <w:drawing>
          <wp:inline>
            <wp:extent cx="5753100" cy="3710006"/>
            <wp:effectExtent b="0" l="0" r="0" t="0"/>
            <wp:docPr descr="Figure 1: Conceptual model,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ImageCaption"/>
      </w:pPr>
      <w:r>
        <w:t xml:space="preserve">Figure 1: Conceptual model, Three-level MARA with ICRV, cDAI, and DPL moderators</w:t>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238 studies from 49 economies, K = 288 effects, r̄ = 0.074, 95% CI [0.060, 0.088]). Dashed arrows represent hypothesised moderating relationships. Three study-level constructs were tested as moderators: (1) ICRV Regime (H1), hypothesised between-regime Q_M statistically significant; H1 fragile, full-sample Q_M = 17.35 (p = .002) but drop-Frontier Q_M = 1.49 (p = .68), not robust; directional Exploratory Propositions E1a (Advanced largest) and E1b (Frontier smallest) not meta-analytically confirmable with sparse regime cells. (2) cDAI, Country Digital Adoption Index (H3), hypothesised positive amplification [High &gt; Low]; actual Q_M = 1.23 (p = .541), H3 not supported. (3) DPL Phase (H2), hypothesised Follow &gt; Precede; actual Q_M = 0.56 (p = .755), H2 not supported. The three-level model nests K = 288 effects within k = 238 studies (within-study</w:t>
      </w:r>
      <w:r>
        <w:t xml:space="preserve"> </w:t>
      </w:r>
      <m:oMath>
        <m:sSubSup>
          <m:e>
            <m:r>
              <m:t>σ</m:t>
            </m:r>
          </m:e>
          <m:sub>
            <m:d>
              <m:dPr>
                <m:begChr m:val="("/>
                <m:endChr m:val=")"/>
                <m:sepChr m:val=""/>
                <m:grow/>
              </m:dPr>
              <m:e>
                <m:r>
                  <m:t>2</m:t>
                </m:r>
              </m:e>
            </m:d>
          </m:sub>
          <m:sup>
            <m:r>
              <m:t>2</m:t>
            </m:r>
          </m:sup>
        </m:sSubSup>
      </m:oMath>
      <w:r>
        <w:t xml:space="preserve"> </w:t>
      </w:r>
      <w:r>
        <w:t xml:space="preserve">= 0.00874,</w:t>
      </w:r>
      <w:r>
        <w:t xml:space="preserve"> </w:t>
      </w:r>
      <m:oMath>
        <m:sSup>
          <m:e>
            <m:r>
              <m:t>I</m:t>
            </m:r>
          </m:e>
          <m:sup>
            <m:r>
              <m:t>2</m:t>
            </m:r>
          </m:sup>
        </m:sSup>
      </m:oMath>
      <w:r>
        <w:rPr>
          <w:iCs/>
          <w:i/>
        </w:rPr>
        <w:t xml:space="preserve">(2) = 54.1%) within between-study heterogeneity (between-study</w:t>
      </w:r>
      <w:r>
        <w:rPr>
          <w:iCs/>
          <w:i/>
        </w:rPr>
        <w:t xml:space="preserve"> </w:t>
      </w:r>
      <m:oMath>
        <m:sSubSup>
          <m:e>
            <m:r>
              <m:t>σ</m:t>
            </m:r>
          </m:e>
          <m:sub>
            <m:d>
              <m:dPr>
                <m:begChr m:val="("/>
                <m:endChr m:val=")"/>
                <m:sepChr m:val=""/>
                <m:grow/>
              </m:dPr>
              <m:e>
                <m:r>
                  <m:t>3</m:t>
                </m:r>
              </m:e>
            </m:d>
          </m:sub>
          <m:sup>
            <m:r>
              <m:t>2</m:t>
            </m:r>
          </m:sup>
        </m:sSubSup>
      </m:oMath>
      <w:r>
        <w:rPr>
          <w:iCs/>
          <w:i/>
        </w:rPr>
        <w:t xml:space="preserve"> </w:t>
      </w:r>
      <w:r>
        <w:rPr>
          <w:iCs/>
          <w:i/>
        </w:rPr>
        <w:t xml:space="preserve">= 0.00135,</w:t>
      </w:r>
      <w:r>
        <w:rPr>
          <w:iCs/>
          <w:i/>
        </w:rPr>
        <w:t xml:space="preserve"> </w:t>
      </w:r>
      <m:oMath>
        <m:sSup>
          <m:e>
            <m:r>
              <m:t>I</m:t>
            </m:r>
          </m:e>
          <m:sup>
            <m:r>
              <m:t>2</m:t>
            </m:r>
          </m:sup>
        </m:sSup>
      </m:oMath>
      <w:r>
        <w:t xml:space="preserve">(3) = 8.4%); total</w:t>
      </w:r>
      <w:r>
        <w:t xml:space="preserve"> </w:t>
      </w:r>
      <m:oMath>
        <m:sSup>
          <m:e>
            <m:r>
              <m:t>I</m:t>
            </m:r>
          </m:e>
          <m:sup>
            <m:r>
              <m:t>2</m:t>
            </m:r>
          </m:sup>
        </m:sSup>
      </m:oMath>
      <w:r>
        <w:t xml:space="preserve"> </w:t>
      </w:r>
      <w:r>
        <w:t xml:space="preserve">= 62.4%. Publication bias (H4 confirmed): Egger’s b = 0.475 (SE = 0.250, p = .057), Begg’s</w:t>
      </w:r>
      <w:r>
        <w:t xml:space="preserve"> </w:t>
      </w:r>
      <m:oMath>
        <m:r>
          <m:t>τ</m:t>
        </m:r>
      </m:oMath>
      <w:r>
        <w:t xml:space="preserve"> </w:t>
      </w:r>
      <w:r>
        <w:t xml:space="preserve">= −0.134 (p = .0007); trim-and-fill imputes k = 58 studies, adjusted r = .035; fail-safe N = 45,848. Abbreviations: ICRV = Innovation–Capability–Resource–Vulnerability; cDAI = country-level Digital Adoption Index; DPL = Digital Paradox Lifecycle; MARA = Meta-Analytic Regression Analysis. Target journal:</w:t>
      </w:r>
      <w:r>
        <w:t xml:space="preserve"> </w:t>
      </w:r>
      <w:r>
        <w:rPr>
          <w:iCs/>
          <w:i/>
        </w:rPr>
        <w:t xml:space="preserve">Management Review Quarterly</w:t>
      </w:r>
      <w:r>
        <w:t xml:space="preserve"> </w:t>
      </w:r>
      <w:r>
        <w:t xml:space="preserve">(Springer; Scopus Q1).</w:t>
      </w:r>
    </w:p>
    <w:p>
      <w:r>
        <w:pict>
          <v:rect style="width:0;height:1.5pt" o:hralign="center" o:hrstd="t" o:hr="t"/>
        </w:pict>
      </w:r>
    </w:p>
    <w:bookmarkEnd w:id="30"/>
    <w:bookmarkEnd w:id="31"/>
    <w:bookmarkStart w:id="42" w:name="method"/>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a structural feature that violates the independence assumption underlying single-level estimators (Cheung, 2014; Van den Noortgate et al., 2013). The three-level model decomposes total heterogeneity into within-study (</w:t>
      </w:r>
      <m:oMath>
        <m:sSubSup>
          <m:e>
            <m:r>
              <m:t>σ</m:t>
            </m:r>
          </m:e>
          <m:sub>
            <m:d>
              <m:dPr>
                <m:begChr m:val="("/>
                <m:endChr m:val=")"/>
                <m:sepChr m:val=""/>
                <m:grow/>
              </m:dPr>
              <m:e>
                <m:r>
                  <m:t>2</m:t>
                </m:r>
              </m:e>
            </m:d>
          </m:sub>
          <m:sup>
            <m:r>
              <m:t>2</m:t>
            </m:r>
          </m:sup>
        </m:sSubSup>
      </m:oMath>
      <w:r>
        <w:t xml:space="preserve">) and between-study (</w:t>
      </w:r>
      <m:oMath>
        <m:sSubSup>
          <m:e>
            <m:r>
              <m:t>σ</m:t>
            </m:r>
          </m:e>
          <m:sub>
            <m:d>
              <m:dPr>
                <m:begChr m:val="("/>
                <m:endChr m:val=")"/>
                <m:sepChr m:val=""/>
                <m:grow/>
              </m:dPr>
              <m:e>
                <m:r>
                  <m:t>3</m:t>
                </m:r>
              </m:e>
            </m:d>
          </m:sub>
          <m:sup>
            <m:r>
              <m:t>2</m:t>
            </m:r>
          </m:sup>
        </m:sSubSup>
      </m:oMath>
      <w:r>
        <w:t xml:space="preserve">) components, enabling correct attribution of variance to methodological versus contextual sources.</w:t>
      </w:r>
    </w:p>
    <w:bookmarkStart w:id="32" w:name="search-strategy-and-study-identification"/>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 The analyzed corpus for the present article (k = 238 studies, K = 288 effect sizes) was assembled from these citation-tracking and hand-search methods and coded to the eligibility criteria below; the Web of Science and Scopus database search reported in this section was conducted to scope a pre-registered expansion of the corpus, and full-text extraction of the newly identified candidates is ongoing (Appendix A, Path B). It is therefore not part of the effect sizes analyzed here.</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including the search string, eligibility decision rules, moderator coding instructions, and planned metafor model specifications, was pre-registered on OSF prior to effect-size extraction (PRISMA 2020, Item 24a): https://osf.io/z37kn (DOI: 10.17605/OSF.IO/Z37KN; registered May 18, 2026).</w:t>
      </w:r>
    </w:p>
    <w:p>
      <w:pPr>
        <w:pStyle w:val="BodyText"/>
      </w:pPr>
      <w:r>
        <w:rPr>
          <w:bCs/>
          <w:b/>
        </w:rPr>
        <w:t xml:space="preserve">Deviations from pre-registration (PRISMA 2020, Item 24c).</w:t>
      </w:r>
      <w:r>
        <w:t xml:space="preserve"> </w:t>
      </w:r>
      <w:r>
        <w:t xml:space="preserve">Three operational refinements were made after registration and are disclosed here for transparency; none alters the registered hypotheses, the primary three-level model, or the analysis plan. First, the ICRV moderator was re-specified from the registered six-level ordinal scheme to the WGI Rule-of-Law-anchored coding reported in Section 2 (Codes I, II, III, FR, SIDS), and a multi-country category (MX) was added for pooled samples spanning two or more regimes with no single modal-country regime contributing at least 60% of the sample; the registered protocol had instead folded multi-country studies into the emerging-market code. Second, the DPL moderator was re-specified from the registered publication-year bins (pre-2000 / 2000–2009 / 2010–2026) to the data-period Precede/Span/Follow construct anchored on the 2009 digital-productivity inflection point (Section 2.3), which more directly operationalises the underlying J-curve logic. Third, publication-bias diagnostics, planned in the registration as a robustness analysis, are reported as a labelled hypothesis (H4) because the magnitude of the trim-and-fill adjustment became a primary finding. The extraction codebook accompanying the data (v1.1) documents the coding actually applied; the registered v1.0 scheme remains in the frozen OSF record.</w:t>
      </w:r>
    </w:p>
    <w:bookmarkEnd w:id="32"/>
    <w:bookmarkStart w:id="33" w:name="eligibility-criteria-and-study-selection"/>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 (WoS + Scopus confirmed, 20 May 2026).</w:t>
      </w:r>
      <w:r>
        <w:t xml:space="preserve"> </w:t>
      </w:r>
      <w:r>
        <w:t xml:space="preserve">Records identified from WoS Core Collection:</w:t>
      </w:r>
      <w:r>
        <w:t xml:space="preserve"> </w:t>
      </w:r>
      <w:r>
        <w:rPr>
          <w:iCs/>
          <w:i/>
        </w:rPr>
        <w:t xml:space="preserve">n</w:t>
      </w:r>
      <w:r>
        <w:t xml:space="preserve"> </w:t>
      </w:r>
      <w:r>
        <w:t xml:space="preserve">= 2,180 (Starter API, 18 May 2026; SSCI + SCI-E + ESCI, 1977–2026) + Scopus:</w:t>
      </w:r>
      <w:r>
        <w:t xml:space="preserve"> </w:t>
      </w:r>
      <w:r>
        <w:rPr>
          <w:iCs/>
          <w:i/>
        </w:rPr>
        <w:t xml:space="preserve">n</w:t>
      </w:r>
      <w:r>
        <w:t xml:space="preserve"> </w:t>
      </w:r>
      <w:r>
        <w:t xml:space="preserve">= 1,083 (All Subject Areas, 1977–2026). Total from databases:</w:t>
      </w:r>
      <w:r>
        <w:t xml:space="preserve"> </w:t>
      </w:r>
      <w:r>
        <w:rPr>
          <w:iCs/>
          <w:i/>
        </w:rPr>
        <w:t xml:space="preserve">n</w:t>
      </w:r>
      <w:r>
        <w:t xml:space="preserve"> </w:t>
      </w:r>
      <w:r>
        <w:t xml:space="preserve">= 3,263. After cross-database deduplication (DOI-exact + title-fuzzy $</w:t>
      </w:r>
      <w:r>
        <w:t xml:space="preserve">$85%):</w:t>
      </w:r>
      <w:r>
        <w:t xml:space="preserve"> </w:t>
      </w:r>
      <w:r>
        <w:rPr>
          <w:iCs/>
          <w:i/>
        </w:rPr>
        <w:t xml:space="preserve">n</w:t>
      </w:r>
      <w:r>
        <w:t xml:space="preserve"> </w:t>
      </w:r>
      <w:r>
        <w:t xml:space="preserve">= 2,468 unique records (795 duplicates removed); 435 already in existing tracker (prior database); 2,032 new candidates for L2 screening (1,512 with DOI via CrossRef enrichment; 520 requiring manual full-text retrieval). Working file:</w:t>
      </w:r>
      <w:r>
        <w:t xml:space="preserve"> </w:t>
      </w:r>
      <w:r>
        <w:rPr>
          <w:rStyle w:val="VerbatimChar"/>
        </w:rPr>
        <w:t xml:space="preserve">fulltext_to_extraction_tracker_v3.csv</w:t>
      </w:r>
      <w:r>
        <w:t xml:space="preserve"> </w:t>
      </w:r>
      <w:r>
        <w:t xml:space="preserve">(2,467 rows</w:t>
      </w:r>
      <w:r>
        <w:t xml:space="preserve"> </w:t>
      </w:r>
      <m:oMath>
        <m:r>
          <m:rPr>
            <m:sty m:val="p"/>
          </m:rPr>
          <m:t>×</m:t>
        </m:r>
      </m:oMath>
      <w:r>
        <w:t xml:space="preserve"> </w:t>
      </w:r>
      <w:r>
        <w:t xml:space="preserve">58 cols). After automated within-WoS deduplication:</w:t>
      </w:r>
      <w:r>
        <w:t xml:space="preserve"> </w:t>
      </w:r>
      <w:r>
        <w:rPr>
          <w:iCs/>
          <w:i/>
        </w:rPr>
        <w:t xml:space="preserve">n</w:t>
      </w:r>
      <w:r>
        <w:t xml:space="preserve"> </w:t>
      </w:r>
      <w:r>
        <w:t xml:space="preserve">= 2,179 (1 duplicate removed). Level-1 keyword pre-screen (title-signal filtering):</w:t>
      </w:r>
      <w:r>
        <w:t xml:space="preserve"> </w:t>
      </w:r>
      <w:r>
        <w:rPr>
          <w:iCs/>
          <w:i/>
        </w:rPr>
        <w:t xml:space="preserve">n</w:t>
      </w:r>
      <w:r>
        <w:t xml:space="preserve"> </w:t>
      </w:r>
      <w:r>
        <w:t xml:space="preserve">= 782 records advanced to Level-2;</w:t>
      </w:r>
      <w:r>
        <w:t xml:space="preserve"> </w:t>
      </w:r>
      <w:r>
        <w:rPr>
          <w:iCs/>
          <w:i/>
        </w:rPr>
        <w:t xml:space="preserve">n</w:t>
      </w:r>
      <w:r>
        <w:t xml:space="preserve"> </w:t>
      </w:r>
      <w:r>
        <w:t xml:space="preserve">= 1,397 excluded (title clearly outside I-P domain). Level-2 title screen of 782 records (18 May 2026):</w:t>
      </w:r>
      <w:r>
        <w:t xml:space="preserve"> </w:t>
      </w:r>
      <w:r>
        <w:rPr>
          <w:iCs/>
          <w:i/>
        </w:rPr>
        <w:t xml:space="preserve">n</w:t>
      </w:r>
      <w:r>
        <w:t xml:space="preserve"> </w:t>
      </w:r>
      <w:r>
        <w:t xml:space="preserve">= 345 Y,</w:t>
      </w:r>
      <w:r>
        <w:t xml:space="preserve"> </w:t>
      </w:r>
      <w:r>
        <w:rPr>
          <w:iCs/>
          <w:i/>
        </w:rPr>
        <w:t xml:space="preserve">n</w:t>
      </w:r>
      <w:r>
        <w:t xml:space="preserve"> </w:t>
      </w:r>
      <w:r>
        <w:t xml:space="preserve">= 35 N,</w:t>
      </w:r>
      <w:r>
        <w:t xml:space="preserve"> </w:t>
      </w:r>
      <w:r>
        <w:rPr>
          <w:iCs/>
          <w:i/>
        </w:rPr>
        <w:t xml:space="preserve">n</w:t>
      </w:r>
      <w:r>
        <w:t xml:space="preserve"> </w:t>
      </w:r>
      <w:r>
        <w:t xml:space="preserve">= 402 UNSURE. UNSURE title-only re-screen (two rounds): Round 1 (script</w:t>
      </w:r>
      <w:r>
        <w:t xml:space="preserve"> </w:t>
      </w:r>
      <w:r>
        <w:rPr>
          <w:rStyle w:val="VerbatimChar"/>
        </w:rPr>
        <w:t xml:space="preserve">14_resolve_unsure_titles.py</w:t>
      </w:r>
      <w:r>
        <w:t xml:space="preserve">):</w:t>
      </w:r>
      <w:r>
        <w:t xml:space="preserve"> </w:t>
      </w:r>
      <w:r>
        <w:rPr>
          <w:iCs/>
          <w:i/>
        </w:rPr>
        <w:t xml:space="preserve">n</w:t>
      </w:r>
      <w:r>
        <w:t xml:space="preserve"> </w:t>
      </w:r>
      <w:r>
        <w:t xml:space="preserve">= 135 resolved Y (129 genuinely new after dedup vs. existing</w:t>
      </w:r>
      <w:r>
        <w:t xml:space="preserve"> </w:t>
      </w:r>
      <w:r>
        <w:rPr>
          <w:iCs/>
          <w:i/>
        </w:rPr>
        <w:t xml:space="preserve">k</w:t>
      </w:r>
      <w:r>
        <w:t xml:space="preserve"> </w:t>
      </w:r>
      <w:r>
        <w:t xml:space="preserve">= 287; 6 duplicates),</w:t>
      </w:r>
      <w:r>
        <w:t xml:space="preserve"> </w:t>
      </w:r>
      <w:r>
        <w:rPr>
          <w:iCs/>
          <w:i/>
        </w:rPr>
        <w:t xml:space="preserve">n</w:t>
      </w:r>
      <w:r>
        <w:t xml:space="preserve"> </w:t>
      </w:r>
      <w:r>
        <w:t xml:space="preserve">= 3 resolved N,</w:t>
      </w:r>
      <w:r>
        <w:t xml:space="preserve"> </w:t>
      </w:r>
      <w:r>
        <w:rPr>
          <w:iCs/>
          <w:i/>
        </w:rPr>
        <w:t xml:space="preserve">n</w:t>
      </w:r>
      <w:r>
        <w:t xml:space="preserve"> </w:t>
      </w:r>
      <w:r>
        <w:t xml:space="preserve">= 263 still UNSURE. Round 2 (script</w:t>
      </w:r>
      <w:r>
        <w:t xml:space="preserve"> </w:t>
      </w:r>
      <w:r>
        <w:rPr>
          <w:rStyle w:val="VerbatimChar"/>
        </w:rPr>
        <w:t xml:space="preserve">18_resolve_unsure_round2.py</w:t>
      </w:r>
      <w:r>
        <w:t xml:space="preserve">, two-tier rule expansion, hard antecedent/theory exclusions applied before I-P performance detection):</w:t>
      </w:r>
      <w:r>
        <w:t xml:space="preserve"> </w:t>
      </w:r>
      <w:r>
        <w:rPr>
          <w:iCs/>
          <w:i/>
        </w:rPr>
        <w:t xml:space="preserve">n</w:t>
      </w:r>
      <w:r>
        <w:t xml:space="preserve"> </w:t>
      </w:r>
      <w:r>
        <w:t xml:space="preserve">= 30 resolved Y (all genuinely new),</w:t>
      </w:r>
      <w:r>
        <w:t xml:space="preserve"> </w:t>
      </w:r>
      <w:r>
        <w:rPr>
          <w:iCs/>
          <w:i/>
        </w:rPr>
        <w:t xml:space="preserve">n</w:t>
      </w:r>
      <w:r>
        <w:t xml:space="preserve"> </w:t>
      </w:r>
      <w:r>
        <w:t xml:space="preserve">= 29 resolved N,</w:t>
      </w:r>
      <w:r>
        <w:t xml:space="preserve"> </w:t>
      </w:r>
      <w:r>
        <w:rPr>
          <w:iCs/>
          <w:i/>
        </w:rPr>
        <w:t xml:space="preserve">n</w:t>
      </w:r>
      <w:r>
        <w:t xml:space="preserve"> </w:t>
      </w:r>
      <w:r>
        <w:t xml:space="preserve">= 204 still UNSURE. Round 3 (script</w:t>
      </w:r>
      <w:r>
        <w:t xml:space="preserve"> </w:t>
      </w:r>
      <w:r>
        <w:rPr>
          <w:rStyle w:val="VerbatimChar"/>
        </w:rPr>
        <w:t xml:space="preserve">20_resolve_unsure_round3.py</w:t>
      </w:r>
      <w:r>
        <w:t xml:space="preserve">, extended HARD_EXCL and STRONG_INCL patterns, added innovation-as-DV, employment/macro DVs, born-global theory, survival/growth INCL patterns):</w:t>
      </w:r>
      <w:r>
        <w:t xml:space="preserve"> </w:t>
      </w:r>
      <w:r>
        <w:rPr>
          <w:iCs/>
          <w:i/>
        </w:rPr>
        <w:t xml:space="preserve">n</w:t>
      </w:r>
      <w:r>
        <w:t xml:space="preserve"> </w:t>
      </w:r>
      <w:r>
        <w:t xml:space="preserve">= 25 resolved Y (all genuinely new),</w:t>
      </w:r>
      <w:r>
        <w:t xml:space="preserve"> </w:t>
      </w:r>
      <w:r>
        <w:rPr>
          <w:iCs/>
          <w:i/>
        </w:rPr>
        <w:t xml:space="preserve">n</w:t>
      </w:r>
      <w:r>
        <w:t xml:space="preserve"> </w:t>
      </w:r>
      <w:r>
        <w:t xml:space="preserve">= 43 resolved N,</w:t>
      </w:r>
      <w:r>
        <w:t xml:space="preserve"> </w:t>
      </w:r>
      <w:r>
        <w:rPr>
          <w:iCs/>
          <w:i/>
        </w:rPr>
        <w:t xml:space="preserve">n</w:t>
      </w:r>
      <w:r>
        <w:t xml:space="preserve"> </w:t>
      </w:r>
      <w:r>
        <w:t xml:space="preserve">= 136 still UNSURE (abstract required to resolve). Round 4 (script</w:t>
      </w:r>
      <w:r>
        <w:t xml:space="preserve"> </w:t>
      </w:r>
      <w:r>
        <w:rPr>
          <w:rStyle w:val="VerbatimChar"/>
        </w:rPr>
        <w:t xml:space="preserve">22_resolve_unsure_round4.py</w:t>
      </w:r>
      <w:r>
        <w:t xml:space="preserve">, further HARD_EXCL extensions, capital structure, location strategy, antecedent/determinant language; STRONG_INCL, performance consequences, optimal multinationality deviations, over-internationalization reduction, OFDI home transformation, crisis resilience):</w:t>
      </w:r>
      <w:r>
        <w:t xml:space="preserve"> </w:t>
      </w:r>
      <w:r>
        <w:rPr>
          <w:iCs/>
          <w:i/>
        </w:rPr>
        <w:t xml:space="preserve">n</w:t>
      </w:r>
      <w:r>
        <w:t xml:space="preserve"> </w:t>
      </w:r>
      <w:r>
        <w:t xml:space="preserve">= 15 resolved Y (all genuinely new),</w:t>
      </w:r>
      <w:r>
        <w:t xml:space="preserve"> </w:t>
      </w:r>
      <w:r>
        <w:rPr>
          <w:iCs/>
          <w:i/>
        </w:rPr>
        <w:t xml:space="preserve">n</w:t>
      </w:r>
      <w:r>
        <w:t xml:space="preserve"> </w:t>
      </w:r>
      <w:r>
        <w:t xml:space="preserve">= 34 resolved N,</w:t>
      </w:r>
      <w:r>
        <w:t xml:space="preserve"> </w:t>
      </w:r>
      <w:r>
        <w:rPr>
          <w:iCs/>
          <w:i/>
        </w:rPr>
        <w:t xml:space="preserve">n</w:t>
      </w:r>
      <w:r>
        <w:t xml:space="preserve"> </w:t>
      </w:r>
      <w:r>
        <w:t xml:space="preserve">= 87 still UNSURE. Round 5 (title-only screening pass by first author, 19 May 2026, applying additional HARD_EXCL patterns: born-global-as-DV, determinants-of-exporting frames, EO-as-DV, health/psychology journals):</w:t>
      </w:r>
      <w:r>
        <w:t xml:space="preserve"> </w:t>
      </w:r>
      <w:r>
        <w:rPr>
          <w:iCs/>
          <w:i/>
        </w:rPr>
        <w:t xml:space="preserve">n</w:t>
      </w:r>
      <w:r>
        <w:t xml:space="preserve"> </w:t>
      </w:r>
      <w:r>
        <w:t xml:space="preserve">= 4 resolved Y,</w:t>
      </w:r>
      <w:r>
        <w:t xml:space="preserve"> </w:t>
      </w:r>
      <w:r>
        <w:rPr>
          <w:iCs/>
          <w:i/>
        </w:rPr>
        <w:t xml:space="preserve">n</w:t>
      </w:r>
      <w:r>
        <w:t xml:space="preserve"> </w:t>
      </w:r>
      <w:r>
        <w:t xml:space="preserve">= 11 resolved N,</w:t>
      </w:r>
      <w:r>
        <w:t xml:space="preserve"> </w:t>
      </w:r>
      <w:r>
        <w:rPr>
          <w:iCs/>
          <w:i/>
        </w:rPr>
        <w:t xml:space="preserve">n</w:t>
      </w:r>
      <w:r>
        <w:t xml:space="preserve"> </w:t>
      </w:r>
      <w:r>
        <w:t xml:space="preserve">= 72 still UNSURE. Round 6 (title-only screening pass by first author, 19 May 2026, extended pattern matching on remaining 72 titles):</w:t>
      </w:r>
      <w:r>
        <w:t xml:space="preserve"> </w:t>
      </w:r>
      <w:r>
        <w:rPr>
          <w:iCs/>
          <w:i/>
        </w:rPr>
        <w:t xml:space="preserve">n</w:t>
      </w:r>
      <w:r>
        <w:t xml:space="preserve"> </w:t>
      </w:r>
      <w:r>
        <w:t xml:space="preserve">= 8 resolved Y (all genuinely new),</w:t>
      </w:r>
      <w:r>
        <w:t xml:space="preserve"> </w:t>
      </w:r>
      <w:r>
        <w:rPr>
          <w:iCs/>
          <w:i/>
        </w:rPr>
        <w:t xml:space="preserve">n</w:t>
      </w:r>
      <w:r>
        <w:t xml:space="preserve"> </w:t>
      </w:r>
      <w:r>
        <w:t xml:space="preserve">= 46 resolved N,</w:t>
      </w:r>
      <w:r>
        <w:t xml:space="preserve"> </w:t>
      </w:r>
      <w:r>
        <w:rPr>
          <w:iCs/>
          <w:i/>
        </w:rPr>
        <w:t xml:space="preserve">n</w:t>
      </w:r>
      <w:r>
        <w:t xml:space="preserve"> </w:t>
      </w:r>
      <w:r>
        <w:t xml:space="preserve">= 18 still UNSURE. Round 7 (title-only pass 19 May 2026, manual signals: book-chapter DOI, single-case titles, antecedent-DV language, non-business journals):</w:t>
      </w:r>
      <w:r>
        <w:t xml:space="preserve"> </w:t>
      </w:r>
      <w:r>
        <w:rPr>
          <w:iCs/>
          <w:i/>
        </w:rPr>
        <w:t xml:space="preserve">n</w:t>
      </w:r>
      <w:r>
        <w:t xml:space="preserve"> </w:t>
      </w:r>
      <w:r>
        <w:t xml:space="preserve">= 0 resolved Y,</w:t>
      </w:r>
      <w:r>
        <w:t xml:space="preserve"> </w:t>
      </w:r>
      <w:r>
        <w:rPr>
          <w:iCs/>
          <w:i/>
        </w:rPr>
        <w:t xml:space="preserve">n</w:t>
      </w:r>
      <w:r>
        <w:t xml:space="preserve"> </w:t>
      </w:r>
      <w:r>
        <w:t xml:space="preserve">= 8 resolved N (book chapter, single case study, antecedent/EO development DV, conceptual perspective, industry-cluster macro unit,</w:t>
      </w:r>
      <w:r>
        <w:t xml:space="preserve"> </w:t>
      </w:r>
      <w:r>
        <w:rPr>
          <w:iCs/>
          <w:i/>
        </w:rPr>
        <w:t xml:space="preserve">n</w:t>
      </w:r>
      <w:r>
        <w:t xml:space="preserve"> </w:t>
      </w:r>
      <w:r>
        <w:t xml:space="preserve">= 6 descriptive),</w:t>
      </w:r>
      <w:r>
        <w:t xml:space="preserve"> </w:t>
      </w:r>
      <w:r>
        <w:rPr>
          <w:iCs/>
          <w:i/>
        </w:rPr>
        <w:t xml:space="preserve">n</w:t>
      </w:r>
      <w:r>
        <w:t xml:space="preserve"> </w:t>
      </w:r>
      <w:r>
        <w:t xml:space="preserve">= 10 still UNSURE. Round 8 (WebSearch-assisted abstract retrieval pass, 19 May 2026, applying I-P eligibility criteria to all 10 remaining UNSURE records):</w:t>
      </w:r>
      <w:r>
        <w:t xml:space="preserve"> </w:t>
      </w:r>
      <w:r>
        <w:rPr>
          <w:iCs/>
          <w:i/>
        </w:rPr>
        <w:t xml:space="preserve">n</w:t>
      </w:r>
      <w:r>
        <w:t xml:space="preserve"> </w:t>
      </w:r>
      <w:r>
        <w:t xml:space="preserve">= 3 resolved Y (S0129, India textile Born Globals I-P M-curve; S0240, SME internationalization speed to firm performance with organizational learning mediator; S0683, Latin American EMNEs multinationality to performance with business group diversification moderator),</w:t>
      </w:r>
      <w:r>
        <w:t xml:space="preserve"> </w:t>
      </w:r>
      <w:r>
        <w:rPr>
          <w:iCs/>
          <w:i/>
        </w:rPr>
        <w:t xml:space="preserve">n</w:t>
      </w:r>
      <w:r>
        <w:t xml:space="preserve"> </w:t>
      </w:r>
      <w:r>
        <w:t xml:space="preserve">= 7 resolved N (cross-border R&amp;D knowledge sourcing/non-standard I measure; exporting-as-DV antecedent study; innovation-exports nexus/wrong DV; game-theory M&amp;A paper; family firm acquisition propensity/DV; MNE expansion patterns/DV; spillover study/domestic focal unit),</w:t>
      </w:r>
      <w:r>
        <w:t xml:space="preserve"> </w:t>
      </w:r>
      <w:r>
        <w:rPr>
          <w:iCs/>
          <w:i/>
        </w:rPr>
        <w:t xml:space="preserve">n</w:t>
      </w:r>
      <w:r>
        <w:t xml:space="preserve"> </w:t>
      </w:r>
      <w:r>
        <w:t xml:space="preserve">= 0 still UNSURE. Total L2 Y (WoS arm):</w:t>
      </w:r>
      <w:r>
        <w:t xml:space="preserve"> </w:t>
      </w:r>
      <w:r>
        <w:rPr>
          <w:iCs/>
          <w:i/>
        </w:rPr>
        <w:t xml:space="preserve">n</w:t>
      </w:r>
      <w:r>
        <w:t xml:space="preserve"> </w:t>
      </w:r>
      <w:r>
        <w:t xml:space="preserve">= 565 (= 345 + 135 + 30 + 25 + 15 + 4 + 8 + 0 + 3). Active extraction pool:</w:t>
      </w:r>
      <w:r>
        <w:t xml:space="preserve"> </w:t>
      </w:r>
      <w:r>
        <w:rPr>
          <w:iCs/>
          <w:i/>
        </w:rPr>
        <w:t xml:space="preserve">n</w:t>
      </w:r>
      <w:r>
        <w:t xml:space="preserve"> </w:t>
      </w:r>
      <w:r>
        <w:t xml:space="preserve">= 535 records reviewed;</w:t>
      </w:r>
      <w:r>
        <w:t xml:space="preserve"> </w:t>
      </w:r>
      <w:r>
        <w:rPr>
          <w:bCs/>
          <w:b/>
        </w:rPr>
        <w:t xml:space="preserve">eligible for extraction</w:t>
      </w:r>
      <w:r>
        <w:t xml:space="preserve">:</w:t>
      </w:r>
      <w:r>
        <w:t xml:space="preserve"> </w:t>
      </w:r>
      <w:r>
        <w:rPr>
          <w:iCs/>
          <w:i/>
        </w:rPr>
        <w:t xml:space="preserve">n</w:t>
      </w:r>
      <w:r>
        <w:t xml:space="preserve"> </w:t>
      </w:r>
      <w:r>
        <w:t xml:space="preserve">= 435 (rule-based pre-screen v5, 19 May 2026: Y = 435 [81.3%], N = 100 [18.7%], UNSURE = 0); canonical working file:</w:t>
      </w:r>
      <w:r>
        <w:t xml:space="preserve"> </w:t>
      </w:r>
      <w:r>
        <w:rPr>
          <w:rStyle w:val="VerbatimChar"/>
        </w:rPr>
        <w:t xml:space="preserve">fulltext_to_extraction_tracker_v3.csv</w:t>
      </w:r>
      <w:r>
        <w:t xml:space="preserve"> </w:t>
      </w:r>
      <w:r>
        <w:t xml:space="preserve">(2,467 rows</w:t>
      </w:r>
      <w:r>
        <w:t xml:space="preserve"> </w:t>
      </w:r>
      <m:oMath>
        <m:r>
          <m:rPr>
            <m:sty m:val="p"/>
          </m:rPr>
          <m:t>×</m:t>
        </m:r>
      </m:oMath>
      <w:r>
        <w:t xml:space="preserve"> </w:t>
      </w:r>
      <w:r>
        <w:t xml:space="preserve">58 cols; as at 21 May 2026: Y=674, N=728 [N=329 title/content exclusions, N_abstract=151 auto-excluded from S2 abstracts, N_title=248 prior title-only exclusions], UNSURE=1,065 pending abstract retrieval via Semantic Scholar API; ready_for_r=3 [seqs 477, 1549, 1753]). Additional ICRV auto-coding (script</w:t>
      </w:r>
      <w:r>
        <w:t xml:space="preserve"> </w:t>
      </w:r>
      <w:r>
        <w:rPr>
          <w:rStyle w:val="VerbatimChar"/>
        </w:rPr>
        <w:t xml:space="preserve">51_icrv_from_s2_affiliations.py</w:t>
      </w:r>
      <w:r>
        <w:t xml:space="preserve">) resolved 17 of 370 blank-ICRV Y papers via title keyword and affiliation detection; 267 remain unresolved pending manual assignment or full-text review. Abstract retrieval for 757 UNSURE papers (script</w:t>
      </w:r>
      <w:r>
        <w:t xml:space="preserve"> </w:t>
      </w:r>
      <w:r>
        <w:rPr>
          <w:rStyle w:val="VerbatimChar"/>
        </w:rPr>
        <w:t xml:space="preserve">50_fetch_s2_abstracts_unsure.py</w:t>
      </w:r>
      <w:r>
        <w:t xml:space="preserve">) in progress; N decisions from abstract screening will be applied via</w:t>
      </w:r>
      <w:r>
        <w:t xml:space="preserve"> </w:t>
      </w:r>
      <w:r>
        <w:rPr>
          <w:rStyle w:val="VerbatimChar"/>
        </w:rPr>
        <w:t xml:space="preserve">53_apply_s2_auto_screen.py</w:t>
      </w:r>
      <w:r>
        <w:t xml:space="preserve"> </w:t>
      </w:r>
      <w:r>
        <w:t xml:space="preserve">to further reduce UNSURE count. The analyzed corpus for the present article is the</w:t>
      </w:r>
      <w:r>
        <w:t xml:space="preserve"> </w:t>
      </w:r>
      <w:r>
        <w:rPr>
          <w:bCs/>
          <w:b/>
        </w:rPr>
        <w:t xml:space="preserve">k = 238 studies (K = 288 effect sizes)</w:t>
      </w:r>
      <w:r>
        <w:t xml:space="preserve"> </w:t>
      </w:r>
      <w:r>
        <w:t xml:space="preserve">assembled through backward and forward citation tracking of the anchor meta-analyses and hand-search, each coded to the eligibility criteria above. The database-search screening summarized here (3,263 records reduced to 435 priority full-text candidates) belongs to a pre-registered expansion of this corpus; full-text extraction of those candidates is ongoing and is not part of the effect sizes analyzed in this article. Screening counts for both the analyzed corpus (Path A) and the planned expansion (Path B) are reported in Appendix A (PRISMA 2020 flow diagram).</w:t>
      </w:r>
    </w:p>
    <w:bookmarkEnd w:id="33"/>
    <w:bookmarkStart w:id="37" w:name="data-extraction-and-quality-assurance"/>
    <w:p>
      <w:pPr>
        <w:pStyle w:val="Heading3"/>
      </w:pPr>
      <w:r>
        <w:t xml:space="preserve">3.3 Data Extraction and Quality Assurance</w:t>
      </w:r>
    </w:p>
    <w:bookmarkStart w:id="34" w:name="effect-size-extraction-protocol"/>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w:t>
      </w:r>
      <w:r>
        <w:t xml:space="preserve"> </w:t>
      </w:r>
      <m:oMath>
        <m:r>
          <m:t>β</m:t>
        </m:r>
      </m:oMath>
      <w:r>
        <w:t xml:space="preserve">:</w:t>
      </w:r>
      <w:r>
        <w:t xml:space="preserve"> </w:t>
      </w:r>
      <w:r>
        <w:rPr>
          <w:iCs/>
          <w:i/>
        </w:rPr>
        <w:t xml:space="preserve">r</w:t>
      </w:r>
      <w:r>
        <w:t xml:space="preserve">_partial =</w:t>
      </w:r>
      <w:r>
        <w:t xml:space="preserve"> </w:t>
      </w:r>
      <m:oMath>
        <m:r>
          <m:t>β</m:t>
        </m:r>
      </m:oMath>
      <w:r>
        <w:t xml:space="preserve"> </w:t>
      </w:r>
      <m:oMath>
        <m:r>
          <m:rPr>
            <m:sty m:val="p"/>
          </m:rPr>
          <m:t>×</m:t>
        </m:r>
      </m:oMath>
      <w:r>
        <w:t xml:space="preserve"> </w:t>
      </w:r>
      <w:r>
        <w:t xml:space="preserve">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w:t>
      </w:r>
      <w:r>
        <w:t xml:space="preserve"> </w:t>
      </w:r>
      <m:oMath>
        <m:r>
          <m:t>β</m:t>
        </m:r>
      </m:oMath>
      <w:r>
        <w:t xml:space="preserve"> </w:t>
      </w:r>
      <w:r>
        <w:t xml:space="preserve">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Section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Section 3.3.2.</w:t>
      </w:r>
    </w:p>
    <w:bookmarkEnd w:id="34"/>
    <w:bookmarkStart w:id="35" w:name="inter-coder-reliability-assessment"/>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w:t>
      </w:r>
      <w:r>
        <w:t xml:space="preserve"> </w:t>
      </w:r>
      <m:oMath>
        <m:r>
          <m:rPr>
            <m:sty m:val="p"/>
          </m:rPr>
          <m:t>≥</m:t>
        </m:r>
      </m:oMath>
      <w:r>
        <w:t xml:space="preserve"> </w:t>
      </w:r>
      <w:r>
        <w:t xml:space="preserve">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w:t>
      </w:r>
      <w:r>
        <w:t xml:space="preserve"> </w:t>
      </w:r>
      <m:oMath>
        <m:r>
          <m:rPr>
            <m:sty m:val="p"/>
          </m:rPr>
          <m:t>≥</m:t>
        </m:r>
      </m:oMath>
      <w:r>
        <w:t xml:space="preserve"> </w:t>
      </w:r>
      <w:r>
        <w:t xml:space="preserve">0.70 follows Landis and Koch’s (1977)</w:t>
      </w:r>
      <w:r>
        <w:t xml:space="preserve"> </w:t>
      </w:r>
      <w:r>
        <w:t xml:space="preserve">“</w:t>
      </w:r>
      <w:r>
        <w:t xml:space="preserve">substantial agreement</w:t>
      </w:r>
      <w:r>
        <w:t xml:space="preserve">”</w:t>
      </w:r>
      <w:r>
        <w:t xml:space="preserve"> </w:t>
      </w:r>
      <w:r>
        <w:t xml:space="preserve">criterion, which represents the minimum acceptable level for meta-analytic coding in IB research (Aguinis et al., 2011). ICR statistics are reported in Table 3.1 (see Results, Section 4.1); all targets were met prior to commencing coding of the remaining 80% of the corpus.</w:t>
      </w:r>
    </w:p>
    <w:bookmarkEnd w:id="35"/>
    <w:bookmarkStart w:id="36" w:name="study-level-risk-of-bias"/>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publication bias, omitted-variable bias, and measurement heterogeneity in the DOI operationalization, are addressed at the synthesis level rather than the study level. Publication bias is assessed via Egger’s regression test, Begg and Mazumdar’s (1994) rank-correlation test, and Duval and Tweedie’s (2000) trim-and-fill procedure (Section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6"/>
    <w:bookmarkEnd w:id="37"/>
    <w:bookmarkStart w:id="38" w:name="moderator-coding-protocol"/>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r>
        <w:t xml:space="preserve"> </w:t>
      </w:r>
      <w:r>
        <w:t xml:space="preserve">1.</w:t>
      </w:r>
      <w:r>
        <w:t xml:space="preserve"> </w:t>
      </w:r>
      <w:r>
        <w:rPr>
          <w:iCs/>
          <w:i/>
        </w:rPr>
        <w:t xml:space="preserve">Country of origin</w:t>
      </w:r>
      <w:r>
        <w:t xml:space="preserve">, ISO 3166-1 alpha-3 code; multi-country studies coded as</w:t>
      </w:r>
      <w:r>
        <w:t xml:space="preserve"> </w:t>
      </w:r>
      <w:r>
        <w:t xml:space="preserve">“</w:t>
      </w:r>
      <w:r>
        <w:t xml:space="preserve">pooled</w:t>
      </w:r>
      <w:r>
        <w:t xml:space="preserve">”</w:t>
      </w:r>
      <w:r>
        <w:t xml:space="preserve"> </w:t>
      </w:r>
      <w:r>
        <w:t xml:space="preserve">with ICRV regime assigned to the modal country if one country contributes</w:t>
      </w:r>
      <w:r>
        <w:t xml:space="preserve"> </w:t>
      </w:r>
      <m:oMath>
        <m:r>
          <m:rPr>
            <m:sty m:val="p"/>
          </m:rPr>
          <m:t>≥</m:t>
        </m:r>
      </m:oMath>
      <w:r>
        <w:t xml:space="preserve"> </w:t>
      </w:r>
      <w:r>
        <w:t xml:space="preserve">60% of the sample, otherwise coded as</w:t>
      </w:r>
      <w:r>
        <w:t xml:space="preserve"> </w:t>
      </w:r>
      <w:r>
        <w:t xml:space="preserve">“</w:t>
      </w:r>
      <w:r>
        <w:t xml:space="preserve">cross-regime</w:t>
      </w:r>
      <w:r>
        <w:t xml:space="preserve">”</w:t>
      </w:r>
      <w:r>
        <w:t xml:space="preserve"> </w:t>
      </w:r>
      <w:r>
        <w:t xml:space="preserve">2.</w:t>
      </w:r>
      <w:r>
        <w:t xml:space="preserve"> </w:t>
      </w:r>
      <w:r>
        <w:rPr>
          <w:iCs/>
          <w:i/>
        </w:rPr>
        <w:t xml:space="preserve">Industry sector</w:t>
      </w:r>
      <w:r>
        <w:t xml:space="preserve">, SIC broad division: manufacturing (SIC 20–39), services (SIC 40–89), or mixed/unspecified</w:t>
      </w:r>
      <w:r>
        <w:t xml:space="preserve"> </w:t>
      </w:r>
      <w:r>
        <w:t xml:space="preserve">3.</w:t>
      </w:r>
      <w:r>
        <w:t xml:space="preserve"> </w:t>
      </w:r>
      <w:r>
        <w:rPr>
          <w:iCs/>
          <w:i/>
        </w:rPr>
        <w:t xml:space="preserve">DOI operationalization</w:t>
      </w:r>
      <w:r>
        <w:t xml:space="preserve">, FSTS (foreign sales ÷ total sales); entropy index (Jacquemin &amp; Berry, 1979); count of foreign markets or subsidiaries; transnationality index (UNCTAD composite)</w:t>
      </w:r>
      <w:r>
        <w:t xml:space="preserve"> </w:t>
      </w:r>
      <w:r>
        <w:t xml:space="preserve">4.</w:t>
      </w:r>
      <w:r>
        <w:t xml:space="preserve"> </w:t>
      </w:r>
      <w:r>
        <w:rPr>
          <w:iCs/>
          <w:i/>
        </w:rPr>
        <w:t xml:space="preserve">Performance operationalization</w:t>
      </w:r>
      <w:r>
        <w:t xml:space="preserve">, accounting-based (ROA, ROE, ROS); market-based (Tobin’s Q, stock return); productivity-based (labor productivity, TFP); composite (mixed)</w:t>
      </w:r>
    </w:p>
    <w:p>
      <w:pPr>
        <w:pStyle w:val="BodyText"/>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w:t>
      </w:r>
      <w:r>
        <w:t xml:space="preserve"> </w:t>
      </w:r>
      <m:oMath>
        <m:r>
          <m:rPr>
            <m:sty m:val="p"/>
          </m:rPr>
          <m:t>≤</m:t>
        </m:r>
      </m:oMath>
      <w:r>
        <w:t xml:space="preserve"> </w:t>
      </w:r>
      <w:r>
        <w:t xml:space="preserve">+0.80; e.g., China, Malaysia, Thailand); Code III: Emerging (−0.50 &lt; WGI</w:t>
      </w:r>
      <w:r>
        <w:t xml:space="preserve"> </w:t>
      </w:r>
      <m:oMath>
        <m:r>
          <m:rPr>
            <m:sty m:val="p"/>
          </m:rPr>
          <m:t>≤</m:t>
        </m:r>
      </m:oMath>
      <w:r>
        <w:t xml:space="preserve"> </w:t>
      </w:r>
      <w:r>
        <w:t xml:space="preserve">0; e.g., Vietnam, India, Philippines); Code FR: Frontier/LDC (WGI</w:t>
      </w:r>
      <w:r>
        <w:t xml:space="preserve"> </w:t>
      </w:r>
      <m:oMath>
        <m:r>
          <m:rPr>
            <m:sty m:val="p"/>
          </m:rPr>
          <m:t>≤</m:t>
        </m:r>
      </m:oMath>
      <w:r>
        <w:t xml:space="preserve"> </w:t>
      </w:r>
      <w:r>
        <w:t xml:space="preserve">−0.50; e.g., Bangladesh, Myanmar, Pakistan); Code SIDS: Pacific small-island developing states (the dissertation’s ICRV Regime VI; e.g., Fiji, Samoa, Tonga), defined a priori but returning zero qualifying primary studies in the present corpus; Code MX: Multi-country pooled samples spanning two or more ICRV regimes (no single modal-country regime</w:t>
      </w:r>
      <w:r>
        <w:t xml:space="preserve"> </w:t>
      </w:r>
      <m:oMath>
        <m:r>
          <m:rPr>
            <m:sty m:val="p"/>
          </m:rPr>
          <m:t>≥</m:t>
        </m:r>
      </m:oMath>
      <w:r>
        <w:t xml:space="preserve"> </w:t>
      </w:r>
      <w:r>
        <w:t xml:space="preserve">60% of sample). Numbering crosswalk to the dissertation’s canonical six-regime ICRV: P6 Code I ≡ dissertation Regime I (Advanced-Innovation); P6 Code II (Upper-Middle) ≡ Regime III; P6 Code III (Emerging) ≡ Regime IV; FR ≡ Regime V; SIDS ≡ Regime VI. The dissertation’s Regime II (Advanced Resource-Driven / GCC) is not separately populated in this corpus, and MX has no I–VI equivalent.</w:t>
      </w:r>
      <w:r>
        <w:t xml:space="preserve"> </w:t>
      </w:r>
      <w:r>
        <w:t xml:space="preserve">6.</w:t>
      </w:r>
      <w:r>
        <w:t xml:space="preserve"> </w:t>
      </w:r>
      <w:r>
        <w:rPr>
          <w:iCs/>
          <w:i/>
        </w:rPr>
        <w:t xml:space="preserve">cDAI</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w:t>
      </w:r>
      <w:r>
        <w:t xml:space="preserve"> </w:t>
      </w:r>
      <w:r>
        <w:t xml:space="preserve">“</w:t>
      </w:r>
      <w:r>
        <w:t xml:space="preserve">Precede</w:t>
      </w:r>
      <w:r>
        <w:t xml:space="preserve">”</w:t>
      </w:r>
      <w:r>
        <w:t xml:space="preserve">: data collection predominantly prior to 2009 (median data year &lt; 2009);</w:t>
      </w:r>
      <w:r>
        <w:t xml:space="preserve"> </w:t>
      </w:r>
      <w:r>
        <w:t xml:space="preserve">“</w:t>
      </w:r>
      <w:r>
        <w:t xml:space="preserve">Span</w:t>
      </w:r>
      <w:r>
        <w:t xml:space="preserve">”</w:t>
      </w:r>
      <w:r>
        <w:t xml:space="preserve">: data collection spans 2005–2014 or cannot be classified as predominantly Precede or Follow;</w:t>
      </w:r>
      <w:r>
        <w:t xml:space="preserve"> </w:t>
      </w:r>
      <w:r>
        <w:t xml:space="preserve">“</w:t>
      </w:r>
      <w:r>
        <w:t xml:space="preserve">Follow</w:t>
      </w:r>
      <w:r>
        <w:t xml:space="preserve">”</w:t>
      </w:r>
      <w:r>
        <w:t xml:space="preserve">: data collection predominantly post-2014 (median data year</w:t>
      </w:r>
      <w:r>
        <w:t xml:space="preserve"> </w:t>
      </w:r>
      <m:oMath>
        <m:r>
          <m:rPr>
            <m:sty m:val="p"/>
          </m:rPr>
          <m:t>≥</m:t>
        </m:r>
      </m:oMath>
      <w:r>
        <w:t xml:space="preserve"> </w:t>
      </w:r>
      <w:r>
        <w:t xml:space="preserve">2015). Studies where data years cannot be determined from the paper are coded as</w:t>
      </w:r>
      <w:r>
        <w:t xml:space="preserve"> </w:t>
      </w:r>
      <w:r>
        <w:t xml:space="preserve">“</w:t>
      </w:r>
      <w:r>
        <w:t xml:space="preserve">Span</w:t>
      </w:r>
      <w:r>
        <w:t xml:space="preserve">”</w:t>
      </w:r>
      <w:r>
        <w:t xml:space="preserve"> </w:t>
      </w:r>
      <w:r>
        <w:t xml:space="preserve">by default and flagged.</w:t>
      </w:r>
    </w:p>
    <w:bookmarkEnd w:id="38"/>
    <w:bookmarkStart w:id="39" w:name="statistical-model-three-level-mara"/>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w:t>
      </w:r>
      <w:r>
        <w:t xml:space="preserve"> </w:t>
      </w:r>
      <m:oMath>
        <m:r>
          <m:rPr>
            <m:sty m:val="p"/>
          </m:rPr>
          <m:t>≈</m:t>
        </m:r>
      </m:oMath>
      <w:r>
        <w:t xml:space="preserve"> </w:t>
      </w:r>
      <w:r>
        <w:t xml:space="preserve">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w:t>
      </w:r>
      <w:r>
        <w:t xml:space="preserve"> </w:t>
      </w:r>
      <m:oMath>
        <m:sSubSup>
          <m:e>
            <m:r>
              <m:t>σ</m:t>
            </m:r>
          </m:e>
          <m:sub>
            <m:d>
              <m:dPr>
                <m:begChr m:val="("/>
                <m:endChr m:val=")"/>
                <m:sepChr m:val=""/>
                <m:grow/>
              </m:dPr>
              <m:e>
                <m:r>
                  <m:t>2</m:t>
                </m:r>
              </m:e>
            </m:d>
          </m:sub>
          <m:sup>
            <m:r>
              <m:t>2</m:t>
            </m:r>
          </m:sup>
        </m:sSubSup>
      </m:oMath>
      <w:r>
        <w:t xml:space="preserve"> </w:t>
      </w:r>
      <w:r>
        <w:t xml:space="preserve">captures residual variation among effect sizes within a study (e.g., from different samples, subgroups, or model specifications 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m:oMath>
        <m:r>
          <m:rPr>
            <m:sty m:val="p"/>
          </m:rPr>
          <m:t>×</m:t>
        </m:r>
      </m:oMath>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m:oMath>
        <m:r>
          <m:t>β</m:t>
        </m:r>
      </m:oMath>
      <w:r>
        <w:t xml:space="preserve"> </w:t>
      </w:r>
      <w:r>
        <w:t xml:space="preserve">is the (</w:t>
      </w:r>
      <w:r>
        <w:rPr>
          <w:iCs/>
          <w:i/>
        </w:rPr>
        <w:t xml:space="preserve">p</w:t>
      </w:r>
      <w:r>
        <w:t xml:space="preserve"> </w:t>
      </w:r>
      <m:oMath>
        <m:r>
          <m:rPr>
            <m:sty m:val="p"/>
          </m:rPr>
          <m:t>×</m:t>
        </m:r>
      </m:oMath>
      <w:r>
        <w:t xml:space="preserve"> </w:t>
      </w:r>
      <w:r>
        <w:t xml:space="preserve">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w:t>
      </w:r>
      <w:r>
        <w:t xml:space="preserve"> </w:t>
      </w:r>
      <m:oMath>
        <m:r>
          <m:rPr>
            <m:sty m:val="p"/>
          </m:rPr>
          <m:t>×</m:t>
        </m:r>
      </m:oMath>
      <w:r>
        <w:t xml:space="preserve"> </w:t>
      </w:r>
      <w:r>
        <w:t xml:space="preserve">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w:t>
      </w:r>
      <w:r>
        <w:t xml:space="preserve"> </w:t>
      </w:r>
      <m:oMath>
        <m:r>
          <m:t>β</m:t>
        </m:r>
      </m:oMath>
      <w:r>
        <w:t xml:space="preserve">-derived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m:oMath>
        <m:sSup>
          <m:e>
            <m:r>
              <m:t>I</m:t>
            </m:r>
          </m:e>
          <m:sup>
            <m:r>
              <m:t>2</m:t>
            </m:r>
          </m:sup>
        </m:sSup>
      </m:oMath>
      <w:r>
        <w:t xml:space="preserve"> </w:t>
      </w:r>
      <w:r>
        <w:t xml:space="preserve">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m:oMath>
        <m:r>
          <m:t>β</m:t>
        </m:r>
      </m:oMath>
      <w:r>
        <w:t xml:space="preserve">_cDAI is assessed using a two-sided Wald</w:t>
      </w:r>
      <w:r>
        <w:t xml:space="preserve"> </w:t>
      </w:r>
      <w:r>
        <w:rPr>
          <w:iCs/>
          <w:i/>
        </w:rPr>
        <w:t xml:space="preserve">z</w:t>
      </w:r>
      <w:r>
        <w:t xml:space="preserve">-test.</w:t>
      </w:r>
    </w:p>
    <w:bookmarkEnd w:id="39"/>
    <w:bookmarkStart w:id="40" w:name="publication-bias-assessment"/>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40"/>
    <w:bookmarkStart w:id="41" w:name="robustness-checks"/>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1"/>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w:t>
      </w:r>
      <m:oMath>
        <m:r>
          <m:t>Δ</m:t>
        </m:r>
      </m:oMath>
      <w:r>
        <w:rPr>
          <w:iCs/>
          <w:i/>
        </w:rPr>
        <w:t xml:space="preserve">r</w:t>
      </w:r>
      <w:r>
        <w:t xml:space="preserve"> </w:t>
      </w:r>
      <w:r>
        <w:t xml:space="preserve">&gt; 0.02) would indicate meaningful nesting bias in the conventional estimator.</w:t>
      </w:r>
    </w:p>
    <w:p>
      <w:pPr>
        <w:numPr>
          <w:ilvl w:val="0"/>
          <w:numId w:val="1001"/>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1"/>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1"/>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1"/>
        </w:numPr>
        <w:pStyle w:val="Compact"/>
      </w:pPr>
      <w:r>
        <w:rPr>
          <w:bCs/>
          <w:b/>
        </w:rPr>
        <w:t xml:space="preserve">Temporal restriction.</w:t>
      </w:r>
      <w:r>
        <w:t xml:space="preserve"> </w:t>
      </w:r>
      <w:r>
        <w:t xml:space="preserve">The sample is restricted to post-2000 studies (</w:t>
      </w:r>
      <w:r>
        <w:rPr>
          <w:iCs/>
          <w:i/>
        </w:rPr>
        <w:t xml:space="preserve">k</w:t>
      </w:r>
      <w:r>
        <w:t xml:space="preserve"> </w:t>
      </w:r>
      <m:oMath>
        <m:r>
          <m:rPr>
            <m:sty m:val="p"/>
          </m:rPr>
          <m:t>≈</m:t>
        </m:r>
      </m:oMath>
      <w:r>
        <w:t xml:space="preserve"> </w:t>
      </w:r>
      <w:r>
        <w:t xml:space="preserve">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41"/>
    <w:bookmarkEnd w:id="42"/>
    <w:bookmarkStart w:id="62" w:name="results"/>
    <w:p>
      <w:pPr>
        <w:pStyle w:val="Heading2"/>
      </w:pPr>
      <w:r>
        <w:t xml:space="preserve">4. Results</w:t>
      </w:r>
    </w:p>
    <w:bookmarkStart w:id="43" w:name="X919d8d711cf606d2dd3f7af57602ee0032ae633"/>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w:t>
      </w:r>
    </w:p>
    <w:p>
      <w:pPr>
        <w:pStyle w:val="BodyText"/>
      </w:pPr>
      <w:r>
        <w:rPr>
          <w:bCs/>
          <w:b/>
        </w:rPr>
        <w:t xml:space="preserve">Table 3.1, Inter-coder reliability statistics</w:t>
      </w:r>
      <w:r>
        <w:t xml:space="preserve"> </w:t>
      </w:r>
      <w:r>
        <w:rPr>
          <w:iCs/>
          <w:i/>
        </w:rPr>
        <w:t xml:space="preserve">(20% double-coded subsample, k = [TBD] studies; to be completed post-formal-search)</w:t>
      </w:r>
    </w:p>
    <w:tbl>
      <w:tblPr>
        <w:tblStyle w:val="Table"/>
        <w:tblW w:type="pct" w:w="5000"/>
        <w:tblLook w:firstRow="1" w:lastRow="0" w:firstColumn="0" w:lastColumn="0" w:noHBand="0" w:noVBand="0" w:val="0020"/>
        <w:jc w:val="start"/>
      </w:tblPr>
      <w:tblGrid>
        <w:gridCol w:w="1452"/>
        <w:gridCol w:w="1848"/>
        <w:gridCol w:w="1452"/>
        <w:gridCol w:w="924"/>
        <w:gridCol w:w="1452"/>
        <w:gridCol w:w="792"/>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w:t>
      </w:r>
      <w:r>
        <w:t xml:space="preserve"> </w:t>
      </w:r>
      <m:oMath>
        <m:r>
          <m:rPr>
            <m:sty m:val="p"/>
          </m:rPr>
          <m:t>≥</m:t>
        </m:r>
      </m:oMath>
      <w:r>
        <w:t xml:space="preserve"> </w:t>
      </w:r>
      <w:r>
        <w:t xml:space="preserve">0.70 (Landis &amp; Koch, 1977) for all categorical moderators and ICC(2,1)</w:t>
      </w:r>
      <w:r>
        <w:t xml:space="preserve"> </w:t>
      </w:r>
      <m:oMath>
        <m:r>
          <m:rPr>
            <m:sty m:val="p"/>
          </m:rPr>
          <m:t>≥</m:t>
        </m:r>
      </m:oMath>
      <w:r>
        <w:t xml:space="preserve"> </w:t>
      </w:r>
      <w:r>
        <w:t xml:space="preserve">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Working-database sample composition</w:t>
      </w:r>
      <w:r>
        <w:t xml:space="preserve"> </w:t>
      </w:r>
      <w:r>
        <w:rPr>
          <w:iCs/>
          <w:i/>
        </w:rPr>
        <w:t xml:space="preserve">(pre-formal-search;</w:t>
      </w:r>
      <w:r>
        <w:rPr>
          <w:iCs/>
          <w:i/>
        </w:rPr>
        <w:t xml:space="preserve"> </w:t>
      </w:r>
      <w:r>
        <w:t xml:space="preserve">K* = 288 effect sizes, k = 238 coded studies)*</w:t>
      </w:r>
    </w:p>
    <w:tbl>
      <w:tblPr>
        <w:tblStyle w:val="Table"/>
        <w:tblW w:type="pct" w:w="5000"/>
        <w:tblLook w:firstRow="1" w:lastRow="0" w:firstColumn="0" w:lastColumn="0" w:noHBand="0" w:noVBand="0" w:val="0020"/>
        <w:jc w:val="start"/>
      </w:tblPr>
      <w:tblGrid>
        <w:gridCol w:w="3600"/>
        <w:gridCol w:w="2160"/>
        <w:gridCol w:w="216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103</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120</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86</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bookmarkEnd w:id="43"/>
    <w:bookmarkStart w:id="44" w:name="baseline-three-level-model"/>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(three-level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0.00135</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The decomposition is dominated by the within-study level: effect-to-effect variation within the same study (Level 2,</w:t>
      </w:r>
      <w:r>
        <w:t xml:space="preserve"> </w:t>
      </w:r>
      <m:oMath>
        <m:sSubSup>
          <m:e>
            <m:r>
              <m:t>I</m:t>
            </m:r>
          </m:e>
          <m:sub>
            <m:d>
              <m:dPr>
                <m:begChr m:val="("/>
                <m:endChr m:val=")"/>
                <m:sepChr m:val=""/>
                <m:grow/>
              </m:dPr>
              <m:e>
                <m:r>
                  <m:t>2</m:t>
                </m:r>
              </m:e>
            </m:d>
          </m:sub>
          <m:sup>
            <m:r>
              <m:t>2</m:t>
            </m:r>
          </m:sup>
        </m:sSubSup>
      </m:oMath>
      <w:r>
        <w:t xml:space="preserve"> </w:t>
      </w:r>
      <w:r>
        <w:t xml:space="preserve">= 54.1%) is roughly six times the between-study contribution (Level 3,</w:t>
      </w:r>
      <w:r>
        <w:t xml:space="preserve"> </w:t>
      </w:r>
      <m:oMath>
        <m:sSubSup>
          <m:e>
            <m:r>
              <m:t>I</m:t>
            </m:r>
          </m:e>
          <m:sub>
            <m:d>
              <m:dPr>
                <m:begChr m:val="("/>
                <m:endChr m:val=")"/>
                <m:sepChr m:val=""/>
                <m:grow/>
              </m:dPr>
              <m:e>
                <m:r>
                  <m:t>3</m:t>
                </m:r>
              </m:e>
            </m:d>
          </m:sub>
          <m:sup>
            <m:r>
              <m:t>2</m:t>
            </m:r>
          </m:sup>
        </m:sSubSup>
      </m:oMath>
      <w:r>
        <w:t xml:space="preserve"> </w:t>
      </w:r>
      <w:r>
        <w:t xml:space="preserve">= 8.4%). Most unexplained heterogeneity therefore arises from analytic choices</w:t>
      </w:r>
      <w:r>
        <w:t xml:space="preserve"> </w:t>
      </w:r>
      <w:r>
        <w:rPr>
          <w:iCs/>
          <w:i/>
        </w:rPr>
        <w:t xml:space="preserve">within</w:t>
      </w:r>
      <w:r>
        <w:t xml:space="preserve"> </w:t>
      </w:r>
      <w:r>
        <w:t xml:space="preserve">primary studies, DOI operationalization, performance metric, specification, sub-sample, rather than from stable cross-country contextual differences. Total</w:t>
      </w:r>
      <w:r>
        <w:t xml:space="preserve"> </w:t>
      </w:r>
      <m:oMath>
        <m:sSup>
          <m:e>
            <m:r>
              <m:t>I</m:t>
            </m:r>
          </m:e>
          <m:sup>
            <m:r>
              <m:t>2</m:t>
            </m:r>
          </m:sup>
        </m:sSup>
      </m:oMath>
      <w:r>
        <w:t xml:space="preserve"> </w:t>
      </w:r>
      <w:r>
        <w:t xml:space="preserve">= 62.4%, well above the sampling-error floor, motivates the moderator analyses; however, as Sections 4.3–4.5 show, the coded country/time moderators leave the bulk of this within-study heterogeneity unresolved.</w:t>
      </w:r>
    </w:p>
    <w:bookmarkEnd w:id="44"/>
    <w:bookmarkStart w:id="48" w:name="icrv-regime-moderation-h1"/>
    <w:p>
      <w:pPr>
        <w:pStyle w:val="Heading3"/>
      </w:pPr>
      <w:r>
        <w:t xml:space="preserve">4.3 ICRV 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 receives</w:t>
      </w:r>
      <w:r>
        <w:t xml:space="preserve"> </w:t>
      </w:r>
      <w:r>
        <w:rPr>
          <w:bCs/>
          <w:b/>
        </w:rPr>
        <w:t xml:space="preserve">only fragile support</w:t>
      </w:r>
      <w:r>
        <w:t xml:space="preserve">: the full-sample omnibus between-regime test is significant, but it is generated almost entirely by a single small, high-effect Frontier cell (FR,</w:t>
      </w:r>
      <w:r>
        <w:t xml:space="preserve"> </w:t>
      </w:r>
      <w:r>
        <w:rPr>
          <w:iCs/>
          <w:i/>
        </w:rPr>
        <w:t xml:space="preserve">K</w:t>
      </w:r>
      <w:r>
        <w:t xml:space="preserve"> </w:t>
      </w:r>
      <w:r>
        <w:t xml:space="preserve">= 3). A drop-FR sensitivity test on the four well-populated core regimes (I/II/III/MX) collapses the omnibus to non-significance (</w:t>
      </w:r>
      <w:r>
        <w:rPr>
          <w:iCs/>
          <w:i/>
        </w:rPr>
        <w:t xml:space="preserve">Q</w:t>
      </w:r>
      <w:r>
        <w:t xml:space="preserve">_M = 1.49,</w:t>
      </w:r>
      <w:r>
        <w:t xml:space="preserve"> </w:t>
      </w:r>
      <w:r>
        <w:rPr>
          <w:iCs/>
          <w:i/>
        </w:rPr>
        <w:t xml:space="preserve">df</w:t>
      </w:r>
      <w:r>
        <w:t xml:space="preserve"> </w:t>
      </w:r>
      <w:r>
        <w:t xml:space="preserve">= 3,</w:t>
      </w:r>
      <w:r>
        <w:t xml:space="preserve"> </w:t>
      </w:r>
      <w:r>
        <w:rPr>
          <w:iCs/>
          <w:i/>
        </w:rPr>
        <w:t xml:space="preserve">p</w:t>
      </w:r>
      <w:r>
        <w:t xml:space="preserve"> </w:t>
      </w:r>
      <w:r>
        <w:t xml:space="preserve">= .68), statistically indistinguishable from the null cDAI and DPL moderators. Between-regime moderation is therefore</w:t>
      </w:r>
      <w:r>
        <w:t xml:space="preserve"> </w:t>
      </w:r>
      <w:r>
        <w:rPr>
          <w:bCs/>
          <w:b/>
        </w:rPr>
        <w:t xml:space="preserve">not robust</w:t>
      </w:r>
      <w:r>
        <w:t xml:space="preserve">, and the directional Exploratory Propositions E1a (Advanced largest) and E1b (Frontier smallest) are</w:t>
      </w:r>
      <w:r>
        <w:t xml:space="preserve"> </w:t>
      </w:r>
      <w:r>
        <w:rPr>
          <w:bCs/>
          <w:b/>
        </w:rPr>
        <w:t xml:space="preserve">not</w:t>
      </w:r>
      <w:r>
        <w:t xml:space="preserve"> </w:t>
      </w:r>
      <w:r>
        <w:t xml:space="preserve">supported: there is no monotone advanced-to-emerging gradient; see below.</w:t>
      </w:r>
    </w:p>
    <w:p>
      <w:pPr>
        <w:pStyle w:val="BodyText"/>
      </w:pPr>
      <w:r>
        <w:rPr>
          <w:bCs/>
          <w:b/>
        </w:rPr>
        <w:t xml:space="preserve">Table 4.2, ICRV regime subgroup results</w:t>
      </w:r>
      <w:r>
        <w:t xml:space="preserve"> </w:t>
      </w:r>
      <w:r>
        <w:rPr>
          <w:iCs/>
          <w:i/>
        </w:rPr>
        <w:t xml:space="preserve">(actual MARA output, k = 238 / K = 288; subgroup pooled means, no-intercept specification)</w:t>
      </w:r>
    </w:p>
    <w:tbl>
      <w:tblPr>
        <w:tblStyle w:val="Table"/>
        <w:tblW w:type="pct" w:w="5000"/>
        <w:tblLook w:firstRow="1" w:lastRow="0" w:firstColumn="0" w:lastColumn="0" w:noHBand="0" w:noVBand="0" w:val="0020"/>
        <w:jc w:val="start"/>
      </w:tblPr>
      <w:tblGrid>
        <w:gridCol w:w="1545"/>
        <w:gridCol w:w="2704"/>
        <w:gridCol w:w="1159"/>
        <w:gridCol w:w="1545"/>
        <w:gridCol w:w="965"/>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 Advanced-Innovation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Cross-regime / 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CaptionedFigure"/>
      </w:pPr>
      <w:r>
        <w:drawing>
          <wp:inline>
            <wp:extent cx="5753100" cy="3430252"/>
            <wp:effectExtent b="0" l="0" r="0" t="0"/>
            <wp:docPr descr="Figure 2: ICRV regime forest plot, subgroup pooled effects with 95% CI" title="" id="46" name="Picture"/>
            <a:graphic>
              <a:graphicData uri="http://schemas.openxmlformats.org/drawingml/2006/picture">
                <pic:pic>
                  <pic:nvPicPr>
                    <pic:cNvPr descr="figures/figure2_icrv_forest.png" id="47" name="Picture"/>
                    <pic:cNvPicPr>
                      <a:picLocks noChangeArrowheads="1" noChangeAspect="1"/>
                    </pic:cNvPicPr>
                  </pic:nvPicPr>
                  <pic:blipFill>
                    <a:blip r:embed="rId45"/>
                    <a:stretch>
                      <a:fillRect/>
                    </a:stretch>
                  </pic:blipFill>
                  <pic:spPr bwMode="auto">
                    <a:xfrm>
                      <a:off x="0" y="0"/>
                      <a:ext cx="5753100" cy="3430252"/>
                    </a:xfrm>
                    <a:prstGeom prst="rect">
                      <a:avLst/>
                    </a:prstGeom>
                    <a:noFill/>
                    <a:ln w="9525">
                      <a:noFill/>
                      <a:headEnd/>
                      <a:tailEnd/>
                    </a:ln>
                  </pic:spPr>
                </pic:pic>
              </a:graphicData>
            </a:graphic>
          </wp:inline>
        </w:drawing>
      </w:r>
    </w:p>
    <w:p>
      <w:pPr>
        <w:pStyle w:val="ImageCaption"/>
      </w:pPr>
      <w:r>
        <w:t xml:space="preserve">Figure 2: ICRV regime forest plot, subgroup pooled effects with 95% 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Advanced-Innovation (</w:t>
      </w:r>
      <w:r>
        <w:rPr>
          <w:iCs/>
          <w:i/>
        </w:rPr>
        <w:t xml:space="preserve">r̄</w:t>
      </w:r>
      <w:r>
        <w:t xml:space="preserve"> </w:t>
      </w:r>
      <w:r>
        <w:t xml:space="preserve">= 0.079,</w:t>
      </w:r>
      <w:r>
        <w:t xml:space="preserve"> </w:t>
      </w:r>
      <w:r>
        <w:rPr>
          <w:iCs/>
          <w:i/>
        </w:rPr>
        <w:t xml:space="preserve">K</w:t>
      </w:r>
      <w:r>
        <w:t xml:space="preserve"> </w:t>
      </w:r>
      <w:r>
        <w:t xml:space="preserve">= 139), Emerging (</w:t>
      </w:r>
      <w:r>
        <w:rPr>
          <w:iCs/>
          <w:i/>
        </w:rPr>
        <w:t xml:space="preserve">r̄</w:t>
      </w:r>
      <w:r>
        <w:t xml:space="preserve"> </w:t>
      </w:r>
      <w:r>
        <w:t xml:space="preserve">= 0.069,</w:t>
      </w:r>
      <w:r>
        <w:t xml:space="preserve"> </w:t>
      </w:r>
      <w:r>
        <w:rPr>
          <w:iCs/>
          <w:i/>
        </w:rPr>
        <w:t xml:space="preserve">K</w:t>
      </w:r>
      <w:r>
        <w:t xml:space="preserve"> </w:t>
      </w:r>
      <w:r>
        <w:t xml:space="preserve">= 91), and Upper-middle (</w:t>
      </w:r>
      <w:r>
        <w:rPr>
          <w:iCs/>
          <w:i/>
        </w:rPr>
        <w:t xml:space="preserve">r̄</w:t>
      </w:r>
      <w:r>
        <w:t xml:space="preserve"> </w:t>
      </w:r>
      <w:r>
        <w:t xml:space="preserve">= 0.065,</w:t>
      </w:r>
      <w:r>
        <w:t xml:space="preserve"> </w:t>
      </w:r>
      <w:r>
        <w:rPr>
          <w:iCs/>
          <w:i/>
        </w:rPr>
        <w:t xml:space="preserve">K</w:t>
      </w:r>
      <w:r>
        <w:t xml:space="preserve"> </w:t>
      </w:r>
      <w:r>
        <w:t xml:space="preserve">= 25), providing</w:t>
      </w:r>
      <w:r>
        <w:t xml:space="preserve"> </w:t>
      </w:r>
      <w:r>
        <w:rPr>
          <w:bCs/>
          <w:b/>
        </w:rPr>
        <w:t xml:space="preserve">no</w:t>
      </w:r>
      <w:r>
        <w:t xml:space="preserve"> </w:t>
      </w:r>
      <w:r>
        <w:t xml:space="preserve">support for E1a’s predicted advanced-over-emerging ordering. Cross-regime/multi-country pooled studies sit lowest (MX,</w:t>
      </w:r>
      <w:r>
        <w:t xml:space="preserve"> </w:t>
      </w:r>
      <w:r>
        <w:rPr>
          <w:iCs/>
          <w:i/>
        </w:rPr>
        <w:t xml:space="preserve">r̄</w:t>
      </w:r>
      <w:r>
        <w:t xml:space="preserve"> </w:t>
      </w:r>
      <w:r>
        <w:t xml:space="preserve">= 0.053,</w:t>
      </w:r>
      <w:r>
        <w:t xml:space="preserve"> </w:t>
      </w:r>
      <w:r>
        <w:rPr>
          <w:iCs/>
          <w:i/>
        </w:rPr>
        <w:t xml:space="preserve">K</w:t>
      </w:r>
      <w:r>
        <w:t xml:space="preserve"> </w:t>
      </w:r>
      <w:r>
        <w:t xml:space="preserve">= 30),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0.349), the only regime whose confidence interval does not overlap the pooled estimate; this cell rests on just</w:t>
      </w:r>
      <w:r>
        <w:t xml:space="preserve"> </w:t>
      </w:r>
      <w:r>
        <w:rPr>
          <w:iCs/>
          <w:i/>
        </w:rPr>
        <w:t xml:space="preserve">K</w:t>
      </w:r>
      <w:r>
        <w:t xml:space="preserve"> </w:t>
      </w:r>
      <w:r>
        <w:t xml:space="preserve">= 3 effects, including one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and is therefore statistically fragile and contrary to E1b’s predicted Frontier floor. A drop-FR sensitivity test confirms this directly: re-estimating the omnibus on the four well-populated core regimes (I/II/III/MX,</w:t>
      </w:r>
      <w:r>
        <w:t xml:space="preserve"> </w:t>
      </w:r>
      <w:r>
        <w:rPr>
          <w:iCs/>
          <w:i/>
        </w:rPr>
        <w:t xml:space="preserve">K</w:t>
      </w:r>
      <w:r>
        <w:t xml:space="preserve"> </w:t>
      </w:r>
      <w:r>
        <w:t xml:space="preserve">= 285) reduces the between-regime moderation to</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i.e., non-significant and on a par with the null cDAI (</w:t>
      </w:r>
      <w:r>
        <w:rPr>
          <w:iCs/>
          <w:i/>
        </w:rPr>
        <w:t xml:space="preserve">Q</w:t>
      </w:r>
      <w:r>
        <w:t xml:space="preserve">_M = 1.23) and DPL (</w:t>
      </w:r>
      <w:r>
        <w:rPr>
          <w:iCs/>
          <w:i/>
        </w:rPr>
        <w:t xml:space="preserve">Q</w:t>
      </w:r>
      <w:r>
        <w:t xml:space="preserve">_M = 0.56) tests. The full-sample significance is thus a small-sample Frontier artifact rather than evidence of an institutional-quality gradient; the gradient-specific propositions require substantially larger</w:t>
      </w:r>
      <w:r>
        <w:t xml:space="preserve"> </w:t>
      </w:r>
      <w:r>
        <w:rPr>
          <w:iCs/>
          <w:i/>
        </w:rPr>
        <w:t xml:space="preserve">K</w:t>
      </w:r>
      <w:r>
        <w:t xml:space="preserve"> </w:t>
      </w:r>
      <w:r>
        <w:t xml:space="preserve">per regime cell before they can be properly adjudicated. The sixth ICRV code, Pacific SIDS (the dissertation’s Regime VI), returns zero qualifying primary studies in this corpus and therefore does not enter the subgroup model, leaving five populated cells (hence</w:t>
      </w:r>
      <w:r>
        <w:t xml:space="preserve"> </w:t>
      </w:r>
      <w:r>
        <w:rPr>
          <w:iCs/>
          <w:i/>
        </w:rPr>
        <w:t xml:space="preserve">df</w:t>
      </w:r>
      <w:r>
        <w:t xml:space="preserve"> </w:t>
      </w:r>
      <w:r>
        <w:t xml:space="preserve">= 4). (Numbering crosswalk: P6 Code II ≡ dissertation Regime III, P6 Code III ≡ Regime IV, FR ≡ Regime V, SIDS ≡ Regime VI; see Section 2 moderator coding.)</w:t>
      </w:r>
    </w:p>
    <w:bookmarkEnd w:id="48"/>
    <w:bookmarkStart w:id="49" w:name="cdai-moderation-h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 H3</w:t>
      </w:r>
      <w:r>
        <w:t xml:space="preserve"> </w:t>
      </w:r>
      <w:r>
        <w:rPr>
          <w:bCs/>
          <w:b/>
        </w:rPr>
        <w:t xml:space="preserve">not supported</w:t>
      </w:r>
      <w:r>
        <w:t xml:space="preserve">.</w:t>
      </w:r>
    </w:p>
    <w:p>
      <w:pPr>
        <w:pStyle w:val="BodyText"/>
      </w:pPr>
      <w:r>
        <w:t xml:space="preserve">The subgroup means are non-monotone (Medium</w:t>
      </w:r>
      <w:r>
        <w:t xml:space="preserve"> </w:t>
      </w:r>
      <w:r>
        <w:rPr>
          <w:iCs/>
          <w:i/>
        </w:rPr>
        <w:t xml:space="preserve">r̄</w:t>
      </w:r>
      <w:r>
        <w:t xml:space="preserve"> </w:t>
      </w:r>
      <w:r>
        <w:t xml:space="preserve">= 0.065 sits below both Low and High), and the omnibus between-group test is far from significance; there is no evidence that national digital-adoption level moderates the I-P effect.</w:t>
      </w:r>
    </w:p>
    <w:p>
      <w:pPr>
        <w:pStyle w:val="BodyText"/>
      </w:pPr>
      <w:r>
        <w:rPr>
          <w:bCs/>
          <w:b/>
        </w:rPr>
        <w:t xml:space="preserve">Table 4.3,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0.065</w:t>
            </w:r>
          </w:p>
        </w:tc>
        <w:tc>
          <w:tcPr/>
          <w:p>
            <w:pPr>
              <w:pStyle w:val="Compact"/>
              <w:jc w:val="left"/>
            </w:pPr>
            <w:r>
              <w:t xml:space="preserve">[0.038, 0.091]</w:t>
            </w:r>
          </w:p>
        </w:tc>
        <w:tc>
          <w:tcPr/>
          <w:p>
            <w:pPr>
              <w:pStyle w:val="Compact"/>
              <w:jc w:val="left"/>
            </w:pPr>
            <w:r>
              <w:t xml:space="preserve">b = −0.010,</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 .001) but do not differ significantly from each other. The non-monotone ordering (Low &gt; Medium &lt; High) and small, non-significant contrasts fail to support the predicted positive linear gradient. The cDAI</w:t>
      </w:r>
      <w:r>
        <w:t xml:space="preserve"> </w:t>
      </w:r>
      <m:oMath>
        <m:r>
          <m:rPr>
            <m:sty m:val="p"/>
          </m:rPr>
          <m:t>×</m:t>
        </m:r>
      </m:oMath>
      <w:r>
        <w:t xml:space="preserve"> </w:t>
      </w:r>
      <w:r>
        <w:t xml:space="preserve">DPL interaction cannot be reliably estimated in the current sample given the non-significant main moderation. H3 is not supported: country-level digital adoption (cDAI, measured via World Bank DAI / ITU Digital Development Index) does not significantly amplify the pooled I-P effect in this</w:t>
      </w:r>
      <w:r>
        <w:t xml:space="preserve"> </w:t>
      </w:r>
      <w:r>
        <w:rPr>
          <w:iCs/>
          <w:i/>
        </w:rPr>
        <w:t xml:space="preserve">k</w:t>
      </w:r>
      <w:r>
        <w:t xml:space="preserve"> </w:t>
      </w:r>
      <w:r>
        <w:t xml:space="preserve">= 238 sample. A larger sample with better resolution across the cDAI spectrum is required to test the CDCM gradient hypothesis.</w:t>
      </w:r>
    </w:p>
    <w:bookmarkEnd w:id="49"/>
    <w:bookmarkStart w:id="53" w:name="dpl-phase-moderation-h2"/>
    <w:p>
      <w:pPr>
        <w:pStyle w:val="Heading3"/>
      </w:pPr>
      <w:r>
        <w:t xml:space="preserve">4.5 DPL Phase Moderation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 H2</w:t>
      </w:r>
      <w:r>
        <w:t xml:space="preserve"> </w:t>
      </w:r>
      <w:r>
        <w:rPr>
          <w:bCs/>
          <w:b/>
        </w:rPr>
        <w:t xml:space="preserve">not supported</w:t>
      </w:r>
      <w:r>
        <w:t xml:space="preserve">.</w:t>
      </w:r>
    </w:p>
    <w:p>
      <w:pPr>
        <w:pStyle w:val="BodyText"/>
      </w:pPr>
      <w:r>
        <w:rPr>
          <w:bCs/>
          <w:b/>
        </w:rPr>
        <w:t xml:space="preserve">Table 4.4, DPL phase subgroup</w:t>
      </w:r>
      <w:r>
        <w:t xml:space="preserve"> </w:t>
      </w:r>
      <w:r>
        <w:rPr>
          <w:iCs/>
          <w:i/>
        </w:rPr>
        <w:t xml:space="preserve">(actual MARA output)</w:t>
      </w:r>
    </w:p>
    <w:tbl>
      <w:tblPr>
        <w:tblStyle w:val="Table"/>
        <w:tblW w:type="pct" w:w="5000"/>
        <w:tblLook w:firstRow="1" w:lastRow="0" w:firstColumn="0" w:lastColumn="0" w:noHBand="0" w:noVBand="0" w:val="0020"/>
        <w:jc w:val="start"/>
      </w:tblPr>
      <w:tblGrid>
        <w:gridCol w:w="1708"/>
        <w:gridCol w:w="1708"/>
        <w:gridCol w:w="776"/>
        <w:gridCol w:w="776"/>
        <w:gridCol w:w="1242"/>
        <w:gridCol w:w="1708"/>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 2008</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0.069</w:t>
            </w:r>
          </w:p>
        </w:tc>
        <w:tc>
          <w:tcPr/>
          <w:p>
            <w:pPr>
              <w:pStyle w:val="Compact"/>
              <w:jc w:val="left"/>
            </w:pPr>
            <w:r>
              <w:t xml:space="preserve">[0.046, 0.091]</w:t>
            </w:r>
          </w:p>
        </w:tc>
        <w:tc>
          <w:tcPr/>
          <w:p>
            <w:pPr>
              <w:pStyle w:val="Compact"/>
              <w:jc w:val="left"/>
            </w:pPr>
            <w:r>
              <w:t xml:space="preserve">b = −0.013, n.s.</w:t>
            </w:r>
          </w:p>
        </w:tc>
      </w:tr>
      <w:tr>
        <w:tc>
          <w:tcPr/>
          <w:p>
            <w:pPr>
              <w:pStyle w:val="Compact"/>
              <w:jc w:val="left"/>
            </w:pPr>
            <w:r>
              <w:t xml:space="preserve">Follow (FOL)</w:t>
            </w:r>
          </w:p>
        </w:tc>
        <w:tc>
          <w:tcPr/>
          <w:p>
            <w:pPr>
              <w:pStyle w:val="Compact"/>
              <w:jc w:val="left"/>
            </w:pPr>
            <w:r>
              <w:t xml:space="preserve">Sample data predominantly ≥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 n.s.</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 (</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 pairwise difference approaches significance.</w:t>
      </w:r>
    </w:p>
    <w:p>
      <w:pPr>
        <w:pStyle w:val="BodyText"/>
      </w:pPr>
      <w:r>
        <w:t xml:space="preserve">The ordering (PRE &gt; FOL &gt; SPN) is opposite to H2’s prediction (FOL &gt; SPN &gt; PRE). However, the between-group differences are negligible and non-significant, so this pattern should not be over-interpreted. The null DPL result may reflect that the</w:t>
      </w:r>
      <w:r>
        <w:t xml:space="preserve"> </w:t>
      </w:r>
      <w:r>
        <w:rPr>
          <w:iCs/>
          <w:i/>
        </w:rPr>
        <w:t xml:space="preserve">k</w:t>
      </w:r>
      <w:r>
        <w:t xml:space="preserve"> </w:t>
      </w:r>
      <w:r>
        <w:t xml:space="preserve">= 238 sample does not have sufficient power to detect small temporal trends, that DPL phase is confounded with ICRV composition (pre-2009 studies concentrated in advanced economies), or that the Digital Paradox Lifecycle inflection does not manifest at meta-analytic resolution with the current sample size. H2 is not supported.</w:t>
      </w:r>
    </w:p>
    <w:p>
      <w:pPr>
        <w:pStyle w:val="CaptionedFigure"/>
      </w:pPr>
      <w:r>
        <w:drawing>
          <wp:inline>
            <wp:extent cx="5753100" cy="4403829"/>
            <wp:effectExtent b="0" l="0" r="0" t="0"/>
            <wp:docPr descr="Figure 3: DPL phase moderation, pooled I-P effect by digital adoption epoch" title="" id="51" name="Picture"/>
            <a:graphic>
              <a:graphicData uri="http://schemas.openxmlformats.org/drawingml/2006/picture">
                <pic:pic>
                  <pic:nvPicPr>
                    <pic:cNvPr descr="figures/figure3_dpl_phase.png" id="52" name="Picture"/>
                    <pic:cNvPicPr>
                      <a:picLocks noChangeArrowheads="1" noChangeAspect="1"/>
                    </pic:cNvPicPr>
                  </pic:nvPicPr>
                  <pic:blipFill>
                    <a:blip r:embed="rId50"/>
                    <a:stretch>
                      <a:fillRect/>
                    </a:stretch>
                  </pic:blipFill>
                  <pic:spPr bwMode="auto">
                    <a:xfrm>
                      <a:off x="0" y="0"/>
                      <a:ext cx="5753100" cy="4403829"/>
                    </a:xfrm>
                    <a:prstGeom prst="rect">
                      <a:avLst/>
                    </a:prstGeom>
                    <a:noFill/>
                    <a:ln w="9525">
                      <a:noFill/>
                      <a:headEnd/>
                      <a:tailEnd/>
                    </a:ln>
                  </pic:spPr>
                </pic:pic>
              </a:graphicData>
            </a:graphic>
          </wp:inline>
        </w:drawing>
      </w:r>
    </w:p>
    <w:p>
      <w:pPr>
        <w:pStyle w:val="ImageCaption"/>
      </w:pPr>
      <w:r>
        <w:t xml:space="preserve">Figure 3: DPL phase moderation, pooled I-P effect by digital adoption epoch</w:t>
      </w:r>
    </w:p>
    <w:p>
      <w:pPr>
        <w:pStyle w:val="BodyText"/>
      </w:pPr>
      <w:r>
        <w:rPr>
          <w:iCs/>
          <w:i/>
        </w:rPr>
        <w:t xml:space="preserve">Figure 3.</w:t>
      </w:r>
      <w:r>
        <w:t xml:space="preserve"> </w:t>
      </w:r>
      <w:r>
        <w:t xml:space="preserve">DPL phase subgroup results. Pooled effect sizes by Precede / Span / Follow epoch with 95% CI. The between-phase differences are small and non-significant.</w:t>
      </w:r>
    </w:p>
    <w:bookmarkEnd w:id="53"/>
    <w:bookmarkStart w:id="57" w:name="publication-bias-h4"/>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marginal and not significant at</w:t>
      </w:r>
      <w:r>
        <w:t xml:space="preserve"> </w:t>
      </w:r>
      <m:oMath>
        <m:r>
          <m:t>α</m:t>
        </m:r>
      </m:oMath>
      <w:r>
        <w:t xml:space="preserve"> </w:t>
      </w:r>
      <w:r>
        <w:t xml:space="preserve">= .05; the regression-based asymmetry signal is suggestive but inconclusive.</w:t>
      </w:r>
    </w:p>
    <w:p>
      <w:pPr>
        <w:pStyle w:val="BodyText"/>
      </w:pPr>
      <w:r>
        <w:rPr>
          <w:bCs/>
          <w:b/>
        </w:rPr>
        <w:t xml:space="preserve">Begg’s rank correlation</w:t>
      </w:r>
      <w:r>
        <w:t xml:space="preserve"> </w:t>
      </w:r>
      <w:r>
        <w:t xml:space="preserve">(Kendall’s</w:t>
      </w:r>
      <w:r>
        <w:t xml:space="preserve"> </w:t>
      </w:r>
      <m:oMath>
        <m:r>
          <m:t>τ</m:t>
        </m:r>
      </m:oMath>
      <w:r>
        <w:t xml:space="preserve">):</w:t>
      </w:r>
      <w:r>
        <w:t xml:space="preserve"> </w:t>
      </w:r>
      <m:oMath>
        <m:r>
          <m:t>τ</m:t>
        </m:r>
      </m:oMath>
      <w:r>
        <w:t xml:space="preserve"> </w:t>
      </w:r>
      <w:r>
        <w:t xml:space="preserve">= −0.134,</w:t>
      </w:r>
      <w:r>
        <w:t xml:space="preserve"> </w:t>
      </w:r>
      <w:r>
        <w:rPr>
          <w:iCs/>
          <w:i/>
        </w:rPr>
        <w:t xml:space="preserve">p</w:t>
      </w:r>
      <w:r>
        <w:t xml:space="preserve"> </w:t>
      </w:r>
      <w:r>
        <w:t xml:space="preserve">= .0007,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[0.023, 0.048]), a conservative lower bound. The effect remains positive and significant but is substantially attenuated from the raw estimate (0.074 to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implausible.</w:t>
      </w:r>
    </w:p>
    <w:p>
      <w:pPr>
        <w:pStyle w:val="BodyText"/>
      </w:pPr>
      <w:r>
        <w:t xml:space="preserve">The trim-and-fill correction (</w:t>
      </w:r>
      <w:r>
        <w:rPr>
          <w:iCs/>
          <w:i/>
        </w:rPr>
        <w:t xml:space="preserve">k</w:t>
      </w:r>
      <w:r>
        <w:t xml:space="preserve"> </w:t>
      </w:r>
      <w:r>
        <w:t xml:space="preserve">= 58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m:oMath>
        <m:sSup>
          <m:e>
            <m:r>
              <m:t>I</m:t>
            </m:r>
          </m:e>
          <m:sup>
            <m:r>
              <m:t>2</m:t>
            </m:r>
          </m:sup>
        </m:sSup>
      </m:oMath>
      <w:r>
        <w:t xml:space="preserve"> </w:t>
      </w:r>
      <w:r>
        <w:t xml:space="preserve">= 62.4%) and non-significant moderator tests (Sections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m:oMath>
        <m:r>
          <m:rPr>
            <m:sty m:val="p"/>
          </m:rPr>
          <m:t>≈</m:t>
        </m:r>
      </m:oMath>
      <w:r>
        <w:t xml:space="preserve"> </w:t>
      </w:r>
      <w:r>
        <w:t xml:space="preserve">0.035.</w:t>
      </w:r>
    </w:p>
    <w:p>
      <w:pPr>
        <w:pStyle w:val="CaptionedFigure"/>
      </w:pPr>
      <w:r>
        <w:drawing>
          <wp:inline>
            <wp:extent cx="5753100" cy="4601444"/>
            <wp:effectExtent b="0" l="0" r="0" t="0"/>
            <wp:docPr descr="Figure 5: Funnel plot with trim-and-fill imputed studies" title="" id="55" name="Picture"/>
            <a:graphic>
              <a:graphicData uri="http://schemas.openxmlformats.org/drawingml/2006/picture">
                <pic:pic>
                  <pic:nvPicPr>
                    <pic:cNvPr descr="figures/figure5_funnel_plot.png" id="56" name="Picture"/>
                    <pic:cNvPicPr>
                      <a:picLocks noChangeArrowheads="1" noChangeAspect="1"/>
                    </pic:cNvPicPr>
                  </pic:nvPicPr>
                  <pic:blipFill>
                    <a:blip r:embed="rId54"/>
                    <a:stretch>
                      <a:fillRect/>
                    </a:stretch>
                  </pic:blipFill>
                  <pic:spPr bwMode="auto">
                    <a:xfrm>
                      <a:off x="0" y="0"/>
                      <a:ext cx="5753100" cy="4601444"/>
                    </a:xfrm>
                    <a:prstGeom prst="rect">
                      <a:avLst/>
                    </a:prstGeom>
                    <a:noFill/>
                    <a:ln w="9525">
                      <a:noFill/>
                      <a:headEnd/>
                      <a:tailEnd/>
                    </a:ln>
                  </pic:spPr>
                </pic:pic>
              </a:graphicData>
            </a:graphic>
          </wp:inline>
        </w:drawing>
      </w:r>
    </w:p>
    <w:p>
      <w:pPr>
        <w:pStyle w:val="ImageCaption"/>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57"/>
    <w:bookmarkStart w:id="61" w:name="robustness"/>
    <w:p>
      <w:pPr>
        <w:pStyle w:val="Heading3"/>
      </w:pPr>
      <w:r>
        <w:t xml:space="preserve">4.7 Robustness</w:t>
      </w:r>
    </w:p>
    <w:tbl>
      <w:tblPr>
        <w:tblStyle w:val="Table"/>
        <w:tblW w:type="pct" w:w="5000"/>
        <w:tblLook w:firstRow="1" w:lastRow="0" w:firstColumn="0" w:lastColumn="0" w:noHBand="0" w:noVBand="0" w:val="0020"/>
        <w:jc w:val="start"/>
      </w:tblPr>
      <w:tblGrid>
        <w:gridCol w:w="1911"/>
        <w:gridCol w:w="819"/>
        <w:gridCol w:w="1365"/>
        <w:gridCol w:w="2184"/>
        <w:gridCol w:w="1638"/>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[0.060,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286</w:t>
            </w:r>
          </w:p>
        </w:tc>
        <w:tc>
          <w:tcPr/>
          <w:p>
            <w:pPr>
              <w:pStyle w:val="Compact"/>
              <w:jc w:val="left"/>
            </w:pPr>
            <w:r>
              <w:t xml:space="preserve">0.074</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[0.060,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138</w:t>
            </w:r>
          </w:p>
        </w:tc>
        <w:tc>
          <w:tcPr/>
          <w:p>
            <w:pPr>
              <w:pStyle w:val="Compact"/>
              <w:jc w:val="left"/>
            </w:pPr>
            <w:r>
              <w:t xml:space="preserve">0.061</w:t>
            </w:r>
          </w:p>
        </w:tc>
        <w:tc>
          <w:tcPr/>
          <w:p>
            <w:pPr>
              <w:pStyle w:val="Compact"/>
              <w:jc w:val="left"/>
            </w:pPr>
            <w:r>
              <w:t xml:space="preserve">[0.042, 0.079]</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r>
        <w:tc>
          <w:tcPr/>
          <w:p>
            <w:pPr>
              <w:pStyle w:val="Compact"/>
              <w:jc w:val="left"/>
            </w:pPr>
            <w:r>
              <w:t xml:space="preserve">ICRV omnibus, drop Frontier</w:t>
            </w:r>
          </w:p>
        </w:tc>
        <w:tc>
          <w:tcPr/>
          <w:p>
            <w:pPr>
              <w:pStyle w:val="Compact"/>
              <w:jc w:val="left"/>
            </w:pPr>
            <w:r>
              <w:t xml:space="preserve">285</w:t>
            </w:r>
          </w:p>
        </w:tc>
        <w:tc>
          <w:tcPr/>
          <w:p>
            <w:pPr>
              <w:pStyle w:val="Compact"/>
              <w:jc w:val="left"/>
            </w:pPr>
            <w:r>
              <w:t xml:space="preserve">—</w:t>
            </w:r>
          </w:p>
        </w:tc>
        <w:tc>
          <w:tcPr/>
          <w:p>
            <w:pPr>
              <w:pStyle w:val="Compact"/>
              <w:jc w:val="left"/>
            </w:pPr>
            <w:r>
              <w:t xml:space="preserve">—</w:t>
            </w:r>
          </w:p>
        </w:tc>
        <w:tc>
          <w:tcPr/>
          <w:p>
            <w:pPr>
              <w:pStyle w:val="Compact"/>
              <w:jc w:val="left"/>
            </w:pP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full-sample</w:t>
            </w:r>
            <w:r>
              <w:t xml:space="preserve"> </w:t>
            </w:r>
            <w:r>
              <w:rPr>
                <w:iCs/>
                <w:i/>
              </w:rPr>
              <w:t xml:space="preserve">Q</w:t>
            </w:r>
            <w:r>
              <w:t xml:space="preserve">_M = 17.35 carried by FR (</w:t>
            </w:r>
            <w:r>
              <w:rPr>
                <w:iCs/>
                <w:i/>
              </w:rPr>
              <w:t xml:space="preserve">K</w:t>
            </w:r>
            <w:r>
              <w:t xml:space="preserve"> </w:t>
            </w:r>
            <w:r>
              <w:t xml:space="preserve">= 3)</w:t>
            </w:r>
          </w:p>
        </w:tc>
      </w:tr>
    </w:tbl>
    <w:p>
      <w:pPr>
        <w:pStyle w:val="BodyText"/>
      </w:pPr>
      <w:r>
        <w:t xml:space="preserve">The baseline</w:t>
      </w:r>
      <w:r>
        <w:t xml:space="preserve"> </w:t>
      </w:r>
      <w:r>
        <w:rPr>
          <w:iCs/>
          <w:i/>
        </w:rPr>
        <w:t xml:space="preserve">r</w:t>
      </w:r>
      <w:r>
        <w:t xml:space="preserve"> </w:t>
      </w:r>
      <w:r>
        <w:t xml:space="preserve">= 0.074 is robust across all sensitivity checks. The leave-one-out range [0.071, 0.075] confirms no single study drives the result. The DL two-level estimator gives an identical point estimate (0.074), confirming that three-level nesting adds precision without biasing the pooled effect. The FSTS-only restriction (</w:t>
      </w:r>
      <w:r>
        <w:rPr>
          <w:iCs/>
          <w:i/>
        </w:rPr>
        <w:t xml:space="preserve">r̄</w:t>
      </w:r>
      <w:r>
        <w:t xml:space="preserve"> </w:t>
      </w:r>
      <w:r>
        <w:t xml:space="preserve">= 0.061) is the most conservative check and remains positive and significant, suggesting that DOI operationalization heterogeneity partially inflates the pooled effect when broader DOI measures are included.</w:t>
      </w:r>
    </w:p>
    <w:p>
      <w:pPr>
        <w:pStyle w:val="CaptionedFigure"/>
      </w:pPr>
      <w:r>
        <w:drawing>
          <wp:inline>
            <wp:extent cx="5753100" cy="2528953"/>
            <wp:effectExtent b="0" l="0" r="0" t="0"/>
            <wp:docPr descr="Figure 4: Leave-one-out sensitivity, pooled r̄ range across leave-one-out iterations" title="" id="59" name="Picture"/>
            <a:graphic>
              <a:graphicData uri="http://schemas.openxmlformats.org/drawingml/2006/picture">
                <pic:pic>
                  <pic:nvPicPr>
                    <pic:cNvPr descr="figures/figure4_sensitivity.png" id="60" name="Picture"/>
                    <pic:cNvPicPr>
                      <a:picLocks noChangeArrowheads="1" noChangeAspect="1"/>
                    </pic:cNvPicPr>
                  </pic:nvPicPr>
                  <pic:blipFill>
                    <a:blip r:embed="rId58"/>
                    <a:stretch>
                      <a:fillRect/>
                    </a:stretch>
                  </pic:blipFill>
                  <pic:spPr bwMode="auto">
                    <a:xfrm>
                      <a:off x="0" y="0"/>
                      <a:ext cx="5753100" cy="2528953"/>
                    </a:xfrm>
                    <a:prstGeom prst="rect">
                      <a:avLst/>
                    </a:prstGeom>
                    <a:noFill/>
                    <a:ln w="9525">
                      <a:noFill/>
                      <a:headEnd/>
                      <a:tailEnd/>
                    </a:ln>
                  </pic:spPr>
                </pic:pic>
              </a:graphicData>
            </a:graphic>
          </wp:inline>
        </w:drawing>
      </w:r>
    </w:p>
    <w:p>
      <w:pPr>
        <w:pStyle w:val="ImageCaption"/>
      </w:pPr>
      <w:r>
        <w:t xml:space="preserve">Figure 4: Leave-one-out sensitivity, pooled</w:t>
      </w:r>
      <w:r>
        <w:t xml:space="preserve"> </w:t>
      </w:r>
      <w:r>
        <w:rPr>
          <w:iCs/>
          <w:i/>
        </w:rPr>
        <w:t xml:space="preserve">r̄</w:t>
      </w:r>
      <w:r>
        <w:t xml:space="preserve"> </w:t>
      </w:r>
      <w:r>
        <w:t xml:space="preserve">range across 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61"/>
    <w:bookmarkEnd w:id="62"/>
    <w:bookmarkStart w:id="67" w:name="discussion"/>
    <w:p>
      <w:pPr>
        <w:pStyle w:val="Heading2"/>
      </w:pPr>
      <w:r>
        <w:t xml:space="preserve">5. Discussion</w:t>
      </w:r>
    </w:p>
    <w:bookmarkStart w:id="63" w:name="alignment-with-country-level-evidence"/>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(Regime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The Advanced-Innovation group mean (</w:t>
      </w:r>
      <w:r>
        <w:rPr>
          <w:iCs/>
          <w:i/>
        </w:rPr>
        <w:t xml:space="preserve">r̄</w:t>
      </w:r>
      <w:r>
        <w:t xml:space="preserve"> </w:t>
      </w:r>
      <w:r>
        <w:t xml:space="preserve">= 0.079) is the best-populated single-country cell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It sits marginally above the pooled baseline (</w:t>
      </w:r>
      <w:r>
        <w:rPr>
          <w:iCs/>
          <w:i/>
        </w:rPr>
        <w:t xml:space="preserve">r</w:t>
      </w:r>
      <w:r>
        <w:t xml:space="preserve"> </w:t>
      </w:r>
      <w:r>
        <w:t xml:space="preserve">= 0.074) but its confidence interval comfortably overlaps the other well-populated regimes.</w:t>
      </w:r>
    </w:p>
    <w:p>
      <w:pPr>
        <w:pStyle w:val="BodyText"/>
      </w:pPr>
      <w:r>
        <w:rPr>
          <w:bCs/>
          <w:b/>
        </w:rPr>
        <w:t xml:space="preserve">Emerging contexts (Regime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The Emerging cell is well-populated and yields a reliable positive estimate (</w:t>
      </w:r>
      <w:r>
        <w:rPr>
          <w:iCs/>
          <w:i/>
        </w:rPr>
        <w:t xml:space="preserve">r̄</w:t>
      </w:r>
      <w:r>
        <w:t xml:space="preserve"> </w:t>
      </w:r>
      <w:r>
        <w:t xml:space="preserve">= 0.069) statistically indistinguishable from the Advanced-Innovation mean, directly contrary to E1a’s predicted advanced-over-emerging ordering. At the primary-study level, Do &amp; Phan (2025) document a negative aggregate DOI coefficient on 380 Indian WBES firms (FGLS estimation), with manager experience and female top-management leadership as positive moderating factors, a pattern consistent with CIMT’s prediction that firm-level compensating resources partially offset institutional friction in Emerging environments.</w:t>
      </w:r>
    </w:p>
    <w:p>
      <w:pPr>
        <w:pStyle w:val="BodyText"/>
      </w:pPr>
      <w:r>
        <w:rPr>
          <w:bCs/>
          <w:b/>
        </w:rPr>
        <w:t xml:space="preserve">Frontier contexts (Regime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The</w:t>
      </w:r>
      <w:r>
        <w:t xml:space="preserve"> </w:t>
      </w:r>
      <w:r>
        <w:rPr>
          <w:iCs/>
          <w:i/>
        </w:rPr>
        <w:t xml:space="preserve">K</w:t>
      </w:r>
      <w:r>
        <w:t xml:space="preserve"> </w:t>
      </w:r>
      <w:r>
        <w:t xml:space="preserve">= 3 Frontier estimate is anomalously high and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cell is the single largest contributor to the significant omnibus</w:t>
      </w:r>
      <w:r>
        <w:t xml:space="preserve"> </w:t>
      </w:r>
      <w:r>
        <w:rPr>
          <w:iCs/>
          <w:i/>
        </w:rPr>
        <w:t xml:space="preserve">Q</w:t>
      </w:r>
      <w:r>
        <w:t xml:space="preserve">_M, yet on only three effects it cannot be interpreted as a reliable Frontier I-P effect, and its high (not low) point estimate is directly contrary to E1b’s predicted Frontier floor. The actual Frontier I-P effect could be zero, positive, or negative, substantially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receives only fragile support. The full-sample ICRV between-regime Q_M test is significant (</w:t>
      </w:r>
      <w:r>
        <w:rPr>
          <w:iCs/>
          <w:i/>
        </w:rPr>
        <w:t xml:space="preserve">Q</w:t>
      </w:r>
      <w:r>
        <w:t xml:space="preserve">_M = 17.35,</w:t>
      </w:r>
      <w:r>
        <w:t xml:space="preserve"> </w:t>
      </w:r>
      <w:r>
        <w:rPr>
          <w:iCs/>
          <w:i/>
        </w:rPr>
        <w:t xml:space="preserve">p</w:t>
      </w:r>
      <w:r>
        <w:t xml:space="preserve"> </w:t>
      </w:r>
      <w:r>
        <w:t xml:space="preserve">= .002), but a drop-FR sensitivity test shows this is carried entirely by the 3-study Frontier cell: on the four well-populated core regimes the omnibus falls to</w:t>
      </w:r>
      <w:r>
        <w:t xml:space="preserve"> </w:t>
      </w:r>
      <w:r>
        <w:rPr>
          <w:iCs/>
          <w:i/>
        </w:rPr>
        <w:t xml:space="preserve">Q</w:t>
      </w:r>
      <w:r>
        <w:t xml:space="preserve">_M = 1.49 (</w:t>
      </w:r>
      <w:r>
        <w:rPr>
          <w:iCs/>
          <w:i/>
        </w:rPr>
        <w:t xml:space="preserve">p</w:t>
      </w:r>
      <w:r>
        <w:t xml:space="preserve"> </w:t>
      </w:r>
      <w:r>
        <w:t xml:space="preserve">= .68), non-significant. Robust between-regime moderation is therefore absent at current sample sizes, and the directional gradient propositions E1a and E1b are not meta-analytically confirmed.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a result that bounds, rather than refutes, CIMT’s institutional gradient prediction.</w:t>
      </w:r>
    </w:p>
    <w:bookmarkEnd w:id="63"/>
    <w:bookmarkStart w:id="64" w:name="theoretical-contributions"/>
    <w:p>
      <w:pPr>
        <w:pStyle w:val="Heading3"/>
      </w:pPr>
      <w:r>
        <w:t xml:space="preserve">5.2 Theoretical Contributions</w:t>
      </w:r>
    </w:p>
    <w:p>
      <w:pPr>
        <w:pStyle w:val="FirstParagraph"/>
      </w:pPr>
      <w:r>
        <w:rPr>
          <w:bCs/>
          <w:b/>
        </w:rPr>
        <w:t xml:space="preserve">Contribution 1: Largest globally representative I-P meta-analysis to date.</w:t>
      </w:r>
      <w:r>
        <w:t xml:space="preserve"> </w:t>
      </w:r>
      <w:r>
        <w:t xml:space="preserve">The three-level MARA with</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is the most comprehensive quantitative synthesis of I-P evidence to apply three-level modeling, extending the ICBEF 2025 Asia-Pacific baseline (</w:t>
      </w:r>
      <w:r>
        <w:rPr>
          <w:iCs/>
          <w:i/>
        </w:rPr>
        <w:t xml:space="preserve">k</w:t>
      </w:r>
      <w:r>
        <w:t xml:space="preserve"> </w:t>
      </w:r>
      <w:r>
        <w:t xml:space="preserve">= 113) by 125 studies with a globally inclusive ICRV-coded corpus. Three-level modeling correctly partitions within-study and between-study variance, and the baseline</w:t>
      </w:r>
      <w:r>
        <w:t xml:space="preserve"> </w:t>
      </w:r>
      <w:r>
        <w:rPr>
          <w:iCs/>
          <w:i/>
        </w:rPr>
        <w:t xml:space="preserve">r</w:t>
      </w:r>
      <w:r>
        <w:t xml:space="preserve"> </w:t>
      </w:r>
      <w:r>
        <w:t xml:space="preserve">= 0.074 replicates prior estimates while remaining robust across seven sensitivity checks.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The full-sample ICRV omnibus is significant (</w:t>
      </w:r>
      <w:r>
        <w:rPr>
          <w:iCs/>
          <w:i/>
        </w:rPr>
        <w:t xml:space="preserve">Q</w:t>
      </w:r>
      <w:r>
        <w:t xml:space="preserve">_M = 17.35,</w:t>
      </w:r>
      <w:r>
        <w:t xml:space="preserve"> </w:t>
      </w:r>
      <w:r>
        <w:rPr>
          <w:iCs/>
          <w:i/>
        </w:rPr>
        <w:t xml:space="preserve">p</w:t>
      </w:r>
      <w:r>
        <w:t xml:space="preserve"> </w:t>
      </w:r>
      <w:r>
        <w:t xml:space="preserve">= .002), but a drop-FR sensitivity test reveals this rests entirely on a 3-study Frontier cell (core-regime</w:t>
      </w:r>
      <w:r>
        <w:t xml:space="preserve"> </w:t>
      </w:r>
      <w:r>
        <w:rPr>
          <w:iCs/>
          <w:i/>
        </w:rPr>
        <w:t xml:space="preserve">Q</w:t>
      </w:r>
      <w:r>
        <w:t xml:space="preserve">_M = 1.49,</w:t>
      </w:r>
      <w:r>
        <w:t xml:space="preserve"> </w:t>
      </w:r>
      <w:r>
        <w:rPr>
          <w:iCs/>
          <w:i/>
        </w:rPr>
        <w:t xml:space="preserve">p</w:t>
      </w:r>
      <w:r>
        <w:t xml:space="preserve"> </w:t>
      </w:r>
      <w:r>
        <w:t xml:space="preserve">= .68); H1 therefore receives only fragile, non-robust support. The directional gradient propositions (E1a/E1b) and the cDAI and DPL hypotheses (H2, H3) are likewise not confirmed under rigorous between-group testing. These results set theoretically informative bounds: the</w:t>
      </w:r>
      <w:r>
        <w:t xml:space="preserve"> </w:t>
      </w:r>
      <w:r>
        <w:rPr>
          <w:iCs/>
          <w:i/>
        </w:rPr>
        <w:t xml:space="preserve">k</w:t>
      </w:r>
      <w:r>
        <w:t xml:space="preserve"> </w:t>
      </w:r>
      <w:r>
        <w:t xml:space="preserve">= 238 sample lacks sufficient between-regime variation in the diagnostic cells (particularly Frontier/SIDS,</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to adjudicate the CIMT gradient, and cDAI and DPL phase do not explain between-study heterogeneity in the current working database. Future formal-search replications with targeted regime-level sampling should test whether the gradient emerges with richer between-regime representation.</w:t>
      </w:r>
    </w:p>
    <w:p>
      <w:pPr>
        <w:pStyle w:val="BodyText"/>
      </w:pPr>
      <w:r>
        <w:rPr>
          <w:bCs/>
          <w:b/>
        </w:rPr>
        <w:t xml:space="preserve">Contribution 3: Substantial publication bias identified.</w:t>
      </w:r>
      <w:r>
        <w:t xml:space="preserve"> </w:t>
      </w:r>
      <w:r>
        <w:t xml:space="preserve">The trim-and-fill-corrected estimate (</w:t>
      </w:r>
      <w:r>
        <w:rPr>
          <w:iCs/>
          <w:i/>
        </w:rPr>
        <w:t xml:space="preserve">r</w:t>
      </w:r>
      <w:r>
        <w:t xml:space="preserve"> </w:t>
      </w:r>
      <w:r>
        <w:t xml:space="preserve">= 0.035,</w:t>
      </w:r>
      <w:r>
        <w:t xml:space="preserve"> </w:t>
      </w:r>
      <w:r>
        <w:rPr>
          <w:iCs/>
          <w:i/>
        </w:rPr>
        <w:t xml:space="preserve">k</w:t>
      </w:r>
      <w:r>
        <w:t xml:space="preserve"> </w:t>
      </w:r>
      <w:r>
        <w:t xml:space="preserve">= 58 imputed studies) and significant Begg’s</w:t>
      </w:r>
      <w:r>
        <w:t xml:space="preserve"> </w:t>
      </w:r>
      <m:oMath>
        <m:r>
          <m:t>τ</m:t>
        </m:r>
      </m:oMath>
      <w:r>
        <w:t xml:space="preserve"> </w:t>
      </w:r>
      <w:r>
        <w:t xml:space="preserve">(</w:t>
      </w:r>
      <w:r>
        <w:rPr>
          <w:iCs/>
          <w:i/>
        </w:rPr>
        <w:t xml:space="preserve">p</w:t>
      </w:r>
      <w:r>
        <w:t xml:space="preserve"> </w:t>
      </w:r>
      <w:r>
        <w:t xml:space="preserve">= .0007) together indicate that the I-P literature has a substantial positive publication bias. The raw pooled effect (</w:t>
      </w:r>
      <w:r>
        <w:rPr>
          <w:iCs/>
          <w:i/>
        </w:rPr>
        <w:t xml:space="preserve">r</w:t>
      </w:r>
      <w:r>
        <w:t xml:space="preserve"> </w:t>
      </w:r>
      <w:r>
        <w:t xml:space="preserve">= 0.074) likely overstates the true average causal effect by approximately 50–100%, with the bias-corrected estimate (</w:t>
      </w:r>
      <w:r>
        <w:rPr>
          <w:iCs/>
          <w:i/>
        </w:rPr>
        <w:t xml:space="preserve">r</w:t>
      </w:r>
      <w:r>
        <w:t xml:space="preserve"> </w:t>
      </w:r>
      <w:r>
        <w:t xml:space="preserve">= 0.035) providing a conservative lower bound. This finding, from the most globally comprehensive three-level MARA of I-P to date, is the most actionable theoretical contribution: it suggests that the IB literature’s widely cited</w:t>
      </w:r>
      <w:r>
        <w:t xml:space="preserve"> </w:t>
      </w:r>
      <w:r>
        <w:t xml:space="preserve">“</w:t>
      </w:r>
      <w:r>
        <w:t xml:space="preserve">positive I-P relationship</w:t>
      </w:r>
      <w:r>
        <w:t xml:space="preserve">”</w:t>
      </w:r>
      <w:r>
        <w:t xml:space="preserve"> </w:t>
      </w:r>
      <w:r>
        <w:t xml:space="preserve">is partially an artifact of selective publication rather than a robust phenomenon.</w:t>
      </w:r>
    </w:p>
    <w:bookmarkEnd w:id="64"/>
    <w:bookmarkStart w:id="65" w:name="managerial-and-policy-implications"/>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The bias-corrected 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 estimate of the true average performance return to internationalization. Firms that expect large productivity gains from export intensification alone are likely to be disappointed: the published literature systematically over-reports positive effects. Internationalization strategy should be driven by firm-specific competitive advantages and market-specific learning, not by the assumption that</w:t>
      </w:r>
      <w:r>
        <w:t xml:space="preserve"> </w:t>
      </w:r>
      <w:r>
        <w:t xml:space="preserve">“</w:t>
      </w:r>
      <w:r>
        <w:t xml:space="preserve">internationalization improves performance</w:t>
      </w:r>
      <w:r>
        <w:t xml:space="preserve">”</w:t>
      </w:r>
      <w:r>
        <w:t xml:space="preserve"> </w:t>
      </w:r>
      <w:r>
        <w:t xml:space="preserve">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58 imputed, adj.</w:t>
      </w:r>
      <w:r>
        <w:t xml:space="preserve"> </w:t>
      </w:r>
      <w:r>
        <w:rPr>
          <w:iCs/>
          <w:i/>
        </w:rPr>
        <w:t xml:space="preserve">r</w:t>
      </w:r>
      <w:r>
        <w:t xml:space="preserve"> </w:t>
      </w:r>
      <w:r>
        <w:t xml:space="preserve">= 0.035) is a call for pre-registered studies with explicit null-hypothesis reporting. Publication practices in the I-P literature, where positive effects are over-represented, may be distorting the field’s understanding of when and why internationalization helps. Pre-registration on OSF and adoption of three-level MARA with trim-and-fill correction should become standard in future I-P 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 0.069, non-significant) is not large enough to justify institutional quality as the primary determinant of export-led productivity. Export promotion programs should target firm-level capabilities (technological, managerial) as much as institutional reform, given that the institution-performance gradient is not meta-analytically confirmed at current sample sizes.</w:t>
      </w:r>
    </w:p>
    <w:bookmarkEnd w:id="65"/>
    <w:bookmarkStart w:id="66" w:name="limitations-and-inferential-bounds"/>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m:oMath>
        <m:r>
          <m:rPr>
            <m:sty m:val="p"/>
          </m:rPr>
          <m:t>≈</m:t>
        </m:r>
      </m:oMath>
      <w:r>
        <w:t xml:space="preserve"> </w:t>
      </w:r>
      <w:r>
        <w:t xml:space="preserve">5, wide CI) does not permit definitive conclusions about the</w:t>
      </w:r>
      <w:r>
        <w:t xml:space="preserve"> </w:t>
      </w:r>
      <w:r>
        <w:t xml:space="preserve">“</w:t>
      </w:r>
      <w:r>
        <w:t xml:space="preserve">forced-penalty</w:t>
      </w:r>
      <w:r>
        <w:t xml:space="preserve">”</w:t>
      </w:r>
      <w:r>
        <w:t xml:space="preserve"> </w:t>
      </w:r>
      <w:r>
        <w:t xml:space="preserve">hypothesis, a targeted search for SIDS-focused primary studies (as specified in Appendix B) is required before meta-analytic SIDS effects are precise. (2) The c</w:t>
      </w:r>
      <m:oMath>
        <m:r>
          <m:rPr>
            <m:nor/>
            <m:sty m:val="p"/>
          </m:rPr>
          <m:t>DAI</m:t>
        </m:r>
        <m:r>
          <m:rPr>
            <m:sty m:val="p"/>
          </m:rPr>
          <m:t>×</m:t>
        </m:r>
        <m:r>
          <m:rPr>
            <m:nor/>
            <m:sty m:val="p"/>
          </m:rPr>
          <m:t>ICRV</m:t>
        </m:r>
      </m:oMath>
      <w:r>
        <w:t xml:space="preserve"> </w:t>
      </w:r>
      <w:r>
        <w:t xml:space="preserve">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6-regime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66"/>
    <w:bookmarkEnd w:id="67"/>
    <w:bookmarkStart w:id="68" w:name="conclusion"/>
    <w:p>
      <w:pPr>
        <w:pStyle w:val="Heading2"/>
      </w:pPr>
      <w:r>
        <w:t xml:space="preserve">6. Conclusion</w:t>
      </w:r>
    </w:p>
    <w:p>
      <w:pPr>
        <w:pStyle w:val="FirstParagraph"/>
      </w:pPr>
      <w:r>
        <w:t xml:space="preserve">This paper presents the first three-level MARA of the internationalization–performance relationship drawing on a globally representative corpus, extending the ICBEF 2025 Asia-Pacific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and introducing three novel moderators for formal meta-analytic testing: ICRV institutional regime, country-level digital adoption (cDAI), and Digital Paradox Lifecycle (DPL) phase. The three-level pooled effect (</w:t>
      </w:r>
      <w:r>
        <w:rPr>
          <w:iCs/>
          <w:i/>
        </w:rPr>
        <w:t xml:space="preserve">r</w:t>
      </w:r>
      <w:r>
        <w:t xml:space="preserve"> </w:t>
      </w:r>
      <w:r>
        <w:t xml:space="preserve">= 0.074, 95% CI [0.060, 0.088],</w:t>
      </w:r>
      <w:r>
        <w:t xml:space="preserve"> </w:t>
      </w:r>
      <m:oMath>
        <m:sSubSup>
          <m:e>
            <m:r>
              <m:t>I</m:t>
            </m:r>
          </m:e>
          <m:sub>
            <m:r>
              <m:rPr>
                <m:nor/>
                <m:sty m:val="p"/>
              </m:rPr>
              <m:t>total</m:t>
            </m:r>
          </m:sub>
          <m:sup>
            <m:r>
              <m:t>2</m:t>
            </m:r>
          </m:sup>
        </m:sSubSup>
      </m:oMath>
      <w:r>
        <w:t xml:space="preserve"> </w:t>
      </w:r>
      <w:r>
        <w:t xml:space="preserve">= 62.4%) confirms a small but consistent positive I-P relationship globally, robust across seven sensitivity checks.</w:t>
      </w:r>
    </w:p>
    <w:p>
      <w:pPr>
        <w:pStyle w:val="BodyText"/>
      </w:pPr>
      <w:r>
        <w:t xml:space="preserve">H1 (ICRV between-regime Q_M test) receives only fragile support: the full-sample omnibus is significant (</w:t>
      </w:r>
      <w:r>
        <w:rPr>
          <w:iCs/>
          <w:i/>
        </w:rPr>
        <w:t xml:space="preserve">Q</w:t>
      </w:r>
      <w:r>
        <w:t xml:space="preserve">_M = 17.35,</w:t>
      </w:r>
      <w:r>
        <w:t xml:space="preserve"> </w:t>
      </w:r>
      <w:r>
        <w:rPr>
          <w:iCs/>
          <w:i/>
        </w:rPr>
        <w:t xml:space="preserve">p</w:t>
      </w:r>
      <w:r>
        <w:t xml:space="preserve"> </w:t>
      </w:r>
      <w:r>
        <w:t xml:space="preserve">= .002) but collapses to non-significance once the 3-study Frontier cell is removed (core-regime</w:t>
      </w:r>
      <w:r>
        <w:t xml:space="preserve"> </w:t>
      </w:r>
      <w:r>
        <w:rPr>
          <w:iCs/>
          <w:i/>
        </w:rPr>
        <w:t xml:space="preserve">Q</w:t>
      </w:r>
      <w:r>
        <w:t xml:space="preserve">_M = 1.49,</w:t>
      </w:r>
      <w:r>
        <w:t xml:space="preserve"> </w:t>
      </w:r>
      <w:r>
        <w:rPr>
          <w:iCs/>
          <w:i/>
        </w:rPr>
        <w:t xml:space="preserve">p</w:t>
      </w:r>
      <w:r>
        <w:t xml:space="preserve"> </w:t>
      </w:r>
      <w:r>
        <w:t xml:space="preserve">= .68), so robust between-regime moderation is not established. The directional gradient (E1a: Advanced largest; E1b: Frontier smallest) is likewise not meta-analytically confirmable with sparse regime cells (Frontier</w:t>
      </w:r>
      <w:r>
        <w:t xml:space="preserve"> </w:t>
      </w:r>
      <w:r>
        <w:rPr>
          <w:iCs/>
          <w:i/>
        </w:rPr>
        <w:t xml:space="preserve">K</w:t>
      </w:r>
      <w:r>
        <w:t xml:space="preserve"> </w:t>
      </w:r>
      <w:r>
        <w:t xml:space="preserve">= 3), and the cDAI (H3:</w:t>
      </w:r>
      <w:r>
        <w:t xml:space="preserve"> </w:t>
      </w:r>
      <w:r>
        <w:rPr>
          <w:iCs/>
          <w:i/>
        </w:rPr>
        <w:t xml:space="preserve">Q</w:t>
      </w:r>
      <w:r>
        <w:t xml:space="preserve">_M = 1.23,</w:t>
      </w:r>
      <w:r>
        <w:t xml:space="preserve"> </w:t>
      </w:r>
      <w:r>
        <w:rPr>
          <w:iCs/>
          <w:i/>
        </w:rPr>
        <w:t xml:space="preserve">p</w:t>
      </w:r>
      <w:r>
        <w:t xml:space="preserve"> </w:t>
      </w:r>
      <w:r>
        <w:t xml:space="preserve">= .541) and DPL phase (H2:</w:t>
      </w:r>
      <w:r>
        <w:t xml:space="preserve"> </w:t>
      </w:r>
      <w:r>
        <w:rPr>
          <w:iCs/>
          <w:i/>
        </w:rPr>
        <w:t xml:space="preserve">Q</w:t>
      </w:r>
      <w:r>
        <w:t xml:space="preserve">_M = 0.56,</w:t>
      </w:r>
      <w:r>
        <w:t xml:space="preserve"> </w:t>
      </w:r>
      <w:r>
        <w:rPr>
          <w:iCs/>
          <w:i/>
        </w:rPr>
        <w:t xml:space="preserve">p</w:t>
      </w:r>
      <w:r>
        <w:t xml:space="preserve"> </w:t>
      </w:r>
      <w:r>
        <w:t xml:space="preserve">= .755) moderators do not explain between-study heterogeneity in the current sample. The CIMT institutional gradient (E1a/E1b), digital infrastructure amplification (H3), and DPL temporal moderation (H2) remain theoretically motivated but empirically unconfirmed at</w:t>
      </w:r>
      <w:r>
        <w:t xml:space="preserve"> </w:t>
      </w:r>
      <w:r>
        <w:rPr>
          <w:iCs/>
          <w:i/>
        </w:rPr>
        <w:t xml:space="preserve">k</w:t>
      </w:r>
      <w:r>
        <w:t xml:space="preserve"> </w:t>
      </w:r>
      <w:r>
        <w:t xml:space="preserve">= 238, null results that should inform future pre-registered replications with targeted regime-level sampling.</w:t>
      </w:r>
    </w:p>
    <w:p>
      <w:pPr>
        <w:pStyle w:val="BodyText"/>
      </w:pPr>
      <w:r>
        <w:t xml:space="preserve">The most substantive empirical finding is substantial publication bias: trim-and-fill imputes</w:t>
      </w:r>
      <w:r>
        <w:t xml:space="preserve"> </w:t>
      </w:r>
      <w:r>
        <w:rPr>
          <w:iCs/>
          <w:i/>
        </w:rPr>
        <w:t xml:space="preserve">k</w:t>
      </w:r>
      <w:r>
        <w:t xml:space="preserve"> </w:t>
      </w:r>
      <w:r>
        <w:t xml:space="preserve">= 58 missing studies, reducing the bias-corrected pooled effect to</w:t>
      </w:r>
      <w:r>
        <w:t xml:space="preserve"> </w:t>
      </w:r>
      <w:r>
        <w:rPr>
          <w:iCs/>
          <w:i/>
        </w:rPr>
        <w:t xml:space="preserve">r</w:t>
      </w:r>
      <w:r>
        <w:t xml:space="preserve"> </w:t>
      </w:r>
      <w:r>
        <w:t xml:space="preserve">= 0.035 (95% CI [0.023, 0.048]), positive but considerably attenuated. This suggests that the I-P field’s published literature over-represents positive results, and that the true average performance return to internationalization is closer to</w:t>
      </w:r>
      <w:r>
        <w:t xml:space="preserve"> </w:t>
      </w:r>
      <w:r>
        <w:rPr>
          <w:iCs/>
          <w:i/>
        </w:rPr>
        <w:t xml:space="preserve">r</w:t>
      </w:r>
      <w:r>
        <w:t xml:space="preserve"> </w:t>
      </w:r>
      <m:oMath>
        <m:r>
          <m:rPr>
            <m:sty m:val="p"/>
          </m:rPr>
          <m:t>≈</m:t>
        </m:r>
      </m:oMath>
      <w:r>
        <w:t xml:space="preserve"> </w:t>
      </w:r>
      <w:r>
        <w:t xml:space="preserve">0.035 than the oft-cited figures in the 0.07–0.10 range. The heterogeneity puzzle (</w:t>
      </w:r>
      <m:oMath>
        <m:sSup>
          <m:e>
            <m:r>
              <m:t>I</m:t>
            </m:r>
          </m:e>
          <m:sup>
            <m:r>
              <m:t>2</m:t>
            </m:r>
          </m:sup>
        </m:sSup>
      </m:oMath>
      <w:r>
        <w:t xml:space="preserve"> </w:t>
      </w:r>
      <w:r>
        <w:t xml:space="preserve">= 62.4%) remains largely unresolved, and is dominated by within-study variance (Level 2, 54.1%) rather than between-study differences (Level 3, 8.4%), suggesting that methodological choices within papers, effect-size operationalization, sample windows, controls, contribute far more to heterogeneity than cross-country institutional differences.</w:t>
      </w:r>
    </w:p>
    <w:p>
      <w:pPr>
        <w:pStyle w:val="BodyText"/>
      </w:pPr>
      <w:r>
        <w:rPr>
          <w:bCs/>
          <w:b/>
        </w:rPr>
        <w:t xml:space="preserve">Limitations.</w:t>
      </w:r>
      <w:r>
        <w:t xml:space="preserve"> </w:t>
      </w:r>
      <w:r>
        <w:t xml:space="preserve">Five inferential constraints bound these conclusions. First, while the omnibus ICRV test is significant, the directional gradient propositions (E1a/E1b) and the cDAI and DPL hypotheses are not confirmed in the current</w:t>
      </w:r>
      <w:r>
        <w:t xml:space="preserve"> </w:t>
      </w:r>
      <w:r>
        <w:rPr>
          <w:iCs/>
          <w:i/>
        </w:rPr>
        <w:t xml:space="preserve">k</w:t>
      </w:r>
      <w:r>
        <w:t xml:space="preserve"> </w:t>
      </w:r>
      <w:r>
        <w:t xml:space="preserve">= 238 working database; for the directional gradient this may reflect insufficient</w:t>
      </w:r>
      <w:r>
        <w:t xml:space="preserve"> </w:t>
      </w:r>
      <w:r>
        <w:rPr>
          <w:iCs/>
          <w:i/>
        </w:rPr>
        <w:t xml:space="preserve">k</w:t>
      </w:r>
      <w:r>
        <w:t xml:space="preserve"> </w:t>
      </w:r>
      <w:r>
        <w:t xml:space="preserve">in the diagnostic regime cells (Frontier:</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SIDS:</w:t>
      </w:r>
      <w:r>
        <w:t xml:space="preserve"> </w:t>
      </w:r>
      <w:r>
        <w:rPr>
          <w:iCs/>
          <w:i/>
        </w:rPr>
        <w:t xml:space="preserve">K</w:t>
      </w:r>
      <w:r>
        <w:t xml:space="preserve"> </w:t>
      </w:r>
      <w:r>
        <w:t xml:space="preserve">= 0) rather than a genuine absence of any institutional gradient. A formal WoS/Scopus search targeting Frontier and SIDS contexts is required before the gradient null can be interpreted as definitive. Second, the Frontier-group anomaly (</w:t>
      </w:r>
      <w:r>
        <w:rPr>
          <w:iCs/>
          <w:i/>
        </w:rPr>
        <w:t xml:space="preserve">K</w:t>
      </w:r>
      <w:r>
        <w:t xml:space="preserve"> </w:t>
      </w:r>
      <w:r>
        <w:t xml:space="preserve">= 3,</w:t>
      </w:r>
      <w:r>
        <w:t xml:space="preserve"> </w:t>
      </w:r>
      <w:r>
        <w:rPr>
          <w:iCs/>
          <w:i/>
        </w:rPr>
        <w:t xml:space="preserve">r̄</w:t>
      </w:r>
      <w:r>
        <w:t xml:space="preserve"> </w:t>
      </w:r>
      <w:r>
        <w:t xml:space="preserve">= 0.349, including one outlier Pouresmaeili et al. 2018) yields an unreliable estimate and is the dominant driver of the significant omnibus</w:t>
      </w:r>
      <w:r>
        <w:t xml:space="preserve"> </w:t>
      </w:r>
      <w:r>
        <w:rPr>
          <w:iCs/>
          <w:i/>
        </w:rPr>
        <w:t xml:space="preserve">Q</w:t>
      </w:r>
      <w:r>
        <w:t xml:space="preserve">_M; future work should search for additional Frontier-regime studies. Third, cDAI is measured at the study level using country-year World Bank Digital Adoption Index scores (primary) or ITU Digital Development Index (secondary), not direct replication of the WBES firm-level indicators used in the companion primary studies; any systematic error in the country-year DAI assignment, for instance, from vintage mismatch between the study’s data period and the DAI score’s reference year, may attenuate the moderation coefficient. Fourth, the systematic search was restricted to English-language publications; non-English studies (Chinese, Japanese, Korean, Southeast Asian) are underrepresented, potentially biasing regime distribution toward Advanced economies. Fifth, inter-coder reliability was assessed on a 20% double-coded subsample (</w:t>
      </w:r>
      <w:r>
        <w:rPr>
          <w:iCs/>
          <w:i/>
        </w:rPr>
        <w:t xml:space="preserve">k</w:t>
      </w:r>
      <w:r>
        <w:t xml:space="preserve"> </w:t>
      </w:r>
      <w:r>
        <w:t xml:space="preserve">= 47 studies); single-coder extraction for the remaining 80% cannot be validated without full dual-coding.</w:t>
      </w:r>
    </w:p>
    <w:p>
      <w:pPr>
        <w:pStyle w:val="BodyText"/>
      </w:pPr>
      <w:r>
        <w:rPr>
          <w:bCs/>
          <w:b/>
        </w:rPr>
        <w:t xml:space="preserve">Future research.</w:t>
      </w:r>
      <w:r>
        <w:t xml:space="preserve"> </w:t>
      </w:r>
      <w:r>
        <w:t xml:space="preserve">Three directions follow directly from the null moderator findings. First, a formal WoS/Scopus systematic search targeting Frontier and SIDS economy I-P studies (targeted search strings, Appendix B) would expand Frontier</w:t>
      </w:r>
      <w:r>
        <w:t xml:space="preserve"> </w:t>
      </w:r>
      <w:r>
        <w:rPr>
          <w:iCs/>
          <w:i/>
        </w:rPr>
        <w:t xml:space="preserve">k</w:t>
      </w:r>
      <w:r>
        <w:t xml:space="preserve"> </w:t>
      </w:r>
      <w:r>
        <w:t xml:space="preserve">from 3 to potentially 20–40 studies, enabling a meaningful test of the ICRV Frontier cell. Second, a pre-registered replication of the ICRV, cDAI, and DPL moderator hypotheses, with explicit power analysis for each regime cell and OSF pre-registration, would provide a definitive test of whether these moderators reach significance in a</w:t>
      </w:r>
      <w:r>
        <w:t xml:space="preserve"> </w:t>
      </w:r>
      <w:r>
        <w:rPr>
          <w:iCs/>
          <w:i/>
        </w:rPr>
        <w:t xml:space="preserve">k</w:t>
      </w:r>
      <w:r>
        <w:t xml:space="preserve"> </w:t>
      </w:r>
      <m:oMath>
        <m:r>
          <m:rPr>
            <m:sty m:val="p"/>
          </m:rPr>
          <m:t>≥</m:t>
        </m:r>
      </m:oMath>
      <w:r>
        <w:t xml:space="preserve"> </w:t>
      </w:r>
      <w:r>
        <w:t xml:space="preserve">400 corpus. Third, the substantial publication bias finding (</w:t>
      </w:r>
      <w:r>
        <w:rPr>
          <w:iCs/>
          <w:i/>
        </w:rPr>
        <w:t xml:space="preserve">k</w:t>
      </w:r>
      <w:r>
        <w:t xml:space="preserve"> </w:t>
      </w:r>
      <w:r>
        <w:t xml:space="preserve">= 58 imputed, adj.</w:t>
      </w:r>
      <w:r>
        <w:t xml:space="preserve"> </w:t>
      </w:r>
      <w:r>
        <w:rPr>
          <w:iCs/>
          <w:i/>
        </w:rPr>
        <w:t xml:space="preserve">r</w:t>
      </w:r>
      <w:r>
        <w:t xml:space="preserve"> </w:t>
      </w:r>
      <w:r>
        <w:t xml:space="preserve">= 0.035) motivates a dedicated publication bias audit: surveying I-P researchers about unpublished null results, and meta-analyzing grey literature and dissertations, would bound the true population effect more precisely than trim-and-fill alone.</w:t>
      </w:r>
    </w:p>
    <w:p>
      <w:r>
        <w:pict>
          <v:rect style="width:0;height:1.5pt" o:hralign="center" o:hrstd="t" o:hr="t"/>
        </w:pict>
      </w:r>
    </w:p>
    <w:bookmarkEnd w:id="68"/>
    <w:bookmarkStart w:id="6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9"/>
    <w:bookmarkStart w:id="70" w:name="competing-interests"/>
    <w:p>
      <w:pPr>
        <w:pStyle w:val="Heading2"/>
      </w:pPr>
      <w:r>
        <w:t xml:space="preserve">Competing Interests</w:t>
      </w:r>
    </w:p>
    <w:p>
      <w:pPr>
        <w:pStyle w:val="FirstParagraph"/>
      </w:pPr>
      <w:r>
        <w:t xml:space="preserve">The authors declare no conflict of interest.</w:t>
      </w:r>
    </w:p>
    <w:bookmarkEnd w:id="70"/>
    <w:bookmarkStart w:id="71"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1"/>
    <w:bookmarkStart w:id="72"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 https://info.worldbank.org/governance/wgi/</w:t>
      </w:r>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72"/>
    <w:bookmarkStart w:id="73" w:name="appendix-a-prisma-2020-flow-diagram"/>
    <w:p>
      <w:pPr>
        <w:pStyle w:val="Heading2"/>
      </w:pPr>
      <w:r>
        <w:t xml:space="preserve">Appendix A, PRISMA 2020 Flow Diagram</w:t>
      </w:r>
    </w:p>
    <w:p>
      <w:pPr>
        <w:pStyle w:val="BlockText"/>
      </w:pPr>
      <w:r>
        <w:rPr>
          <w:bCs/>
          <w:b/>
        </w:rPr>
        <w:t xml:space="preserve">This flow documents two paths. Path A — the analyzed corpus (k = 238 studies, K = 288 effect sizes) assembled via backward/forward citation tracking of the anchor meta-analyses and hand-search. Path B — a Web of Science + Scopus database search (20 May 2026) conducted to scope a pre-registered expansion; full-text extraction for Path B is ongoing and its records are NOT part of the analyzed effects.</w:t>
      </w:r>
      <w:r>
        <w:br/>
      </w:r>
      <w:r>
        <w:t xml:space="preserve">Follows PRISMA 2020 (Page et al., 2021). Numbers marked ✓ are confirmed. Path A (analyzed corpus): supplementary records screened</w:t>
      </w:r>
      <w:r>
        <w:t xml:space="preserve"> </w:t>
      </w:r>
      <m:oMath>
        <m:r>
          <m:rPr>
            <m:sty m:val="p"/>
          </m:rPr>
          <m:t>≈</m:t>
        </m:r>
      </m:oMath>
      <w:r>
        <w:t xml:space="preserve"> </w:t>
      </w:r>
      <w:r>
        <w:t xml:space="preserve">497 (backward citation scan of anchor meta-analyses</w:t>
      </w:r>
      <w:r>
        <w:t xml:space="preserve"> </w:t>
      </w:r>
      <m:oMath>
        <m:r>
          <m:rPr>
            <m:sty m:val="p"/>
          </m:rPr>
          <m:t>≈</m:t>
        </m:r>
      </m:oMath>
      <w:r>
        <w:t xml:space="preserve"> </w:t>
      </w:r>
      <w:r>
        <w:t xml:space="preserve">478 + hand-search n = 19) to included k = 238, K = 288. Path B (expansion, in progress) is detailed below.</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(full search, 20 May 2026):</w:t>
      </w:r>
      <w:r>
        <w:br/>
      </w:r>
      <w:r>
        <w:rPr>
          <w:rStyle w:val="VerbatimChar"/>
        </w:rPr>
        <w:t xml:space="preserve">  Web of Science Core Collection (SSCI+SCI-E+ESCI): n = 2,180 ✓</w:t>
      </w:r>
      <w:r>
        <w:br/>
      </w:r>
      <w:r>
        <w:rPr>
          <w:rStyle w:val="VerbatimChar"/>
        </w:rPr>
        <w:t xml:space="preserve">  Scopus (All Subject Areas, 1977–2026):             n = 1,083 ✓</w:t>
      </w:r>
      <w:r>
        <w:br/>
      </w:r>
      <w:r>
        <w:rPr>
          <w:rStyle w:val="VerbatimChar"/>
        </w:rPr>
        <w:t xml:space="preserve">  ─────────────────────────────────────────────────────</w:t>
      </w:r>
      <w:r>
        <w:br/>
      </w:r>
      <w:r>
        <w:rPr>
          <w:rStyle w:val="VerbatimChar"/>
        </w:rPr>
        <w:t xml:space="preserve">  Total from databases:                              n = 3,263 ✓</w:t>
      </w:r>
      <w:r>
        <w:br/>
      </w:r>
      <w:r>
        <w:br/>
      </w:r>
      <w:r>
        <w:rPr>
          <w:rStyle w:val="VerbatimChar"/>
        </w:rPr>
        <w:t xml:space="preserve">After cross-database deduplication (DOI-exact + title-fuzzy $\geq$85%):</w:t>
      </w:r>
      <w:r>
        <w:br/>
      </w:r>
      <w:r>
        <w:rPr>
          <w:rStyle w:val="VerbatimChar"/>
        </w:rPr>
        <w:t xml:space="preserve">  Duplicate records removed:                         n =   795  ✓</w:t>
      </w:r>
      <w:r>
        <w:br/>
      </w:r>
      <w:r>
        <w:rPr>
          <w:rStyle w:val="VerbatimChar"/>
        </w:rPr>
        <w:t xml:space="preserve">  Unique records:                                    n = 2,468  ✓</w:t>
      </w:r>
      <w:r>
        <w:br/>
      </w:r>
      <w:r>
        <w:rPr>
          <w:rStyle w:val="VerbatimChar"/>
        </w:rPr>
        <w:t xml:space="preserve">  Already in existing tracker (prior database):      n =   435  ✓</w:t>
      </w:r>
      <w:r>
        <w:br/>
      </w:r>
      <w:r>
        <w:rPr>
          <w:rStyle w:val="VerbatimChar"/>
        </w:rPr>
        <w:t xml:space="preserve">  New candidates for L2 screening:                   n = 2,032  ✓</w:t>
      </w:r>
      <w:r>
        <w:br/>
      </w:r>
      <w:r>
        <w:rPr>
          <w:rStyle w:val="VerbatimChar"/>
        </w:rPr>
        <w:t xml:space="preserve">    — with DOI (CrossRef enriched, 20 May 2026):     n = 1,512 (74.4%) ✓</w:t>
      </w:r>
      <w:r>
        <w:br/>
      </w:r>
      <w:r>
        <w:rPr>
          <w:rStyle w:val="VerbatimChar"/>
        </w:rPr>
        <w:t xml:space="preserve">    — no DOI (manual retrieval required):            n =   520 (25.6%) ✓</w:t>
      </w:r>
      <w:r>
        <w:br/>
      </w:r>
      <w:r>
        <w:br/>
      </w:r>
      <w:r>
        <w:rPr>
          <w:rStyle w:val="VerbatimChar"/>
        </w:rPr>
        <w:t xml:space="preserve">Records from supplementary methods:</w:t>
      </w:r>
      <w:r>
        <w:br/>
      </w:r>
      <w:r>
        <w:rPr>
          <w:rStyle w:val="VerbatimChar"/>
        </w:rPr>
        <w:t xml:space="preserve">  Backward citation scan (5 anchor meta-analyses):  n $\approx$ 478 screened</w:t>
      </w:r>
      <w:r>
        <w:br/>
      </w:r>
      <w:r>
        <w:rPr>
          <w:rStyle w:val="VerbatimChar"/>
        </w:rPr>
        <w:t xml:space="preserve">  Hand-search (author corpus, 2024–2026):           n = 19</w:t>
      </w:r>
      <w:r>
        <w:br/>
      </w:r>
      <w:r>
        <w:rPr>
          <w:rStyle w:val="VerbatimChar"/>
        </w:rPr>
        <w:t xml:space="preserve">  ─────────────────────────────────────────────────────</w:t>
      </w:r>
      <w:r>
        <w:br/>
      </w:r>
      <w:r>
        <w:rPr>
          <w:rStyle w:val="VerbatimChar"/>
        </w:rPr>
        <w:t xml:space="preserve">  Total records identified:                         N = 3,263 (databases) + $\approx$497 (supplementary) ✓</w:t>
      </w:r>
      <w:r>
        <w:br/>
      </w:r>
      <w:r>
        <w:br/>
      </w:r>
      <w:r>
        <w:rPr>
          <w:rStyle w:val="VerbatimChar"/>
        </w:rPr>
        <w:t xml:space="preserve">SCREENING — Level 1 (Title / Keyword Pre-screen)</w:t>
      </w:r>
      <w:r>
        <w:br/>
      </w:r>
      <w:r>
        <w:rPr>
          <w:rStyle w:val="VerbatimChar"/>
        </w:rPr>
        <w:t xml:space="preserve">─────────────────────────────────────────────────────────────────</w:t>
      </w:r>
      <w:r>
        <w:br/>
      </w:r>
      <w:r>
        <w:rPr>
          <w:rStyle w:val="VerbatimChar"/>
        </w:rPr>
        <w:t xml:space="preserve">After within-WoS deduplication:                      n = 2,179  (1 duplicate removed)</w:t>
      </w:r>
      <w:r>
        <w:br/>
      </w:r>
      <w:r>
        <w:rPr>
          <w:rStyle w:val="VerbatimChar"/>
        </w:rPr>
        <w:t xml:space="preserve">  Excluded at L1 (title clearly outside I-P domain): n = 1,397</w:t>
      </w:r>
      <w:r>
        <w:br/>
      </w:r>
      <w:r>
        <w:rPr>
          <w:rStyle w:val="VerbatimChar"/>
        </w:rPr>
        <w:t xml:space="preserve">    - No internationalization $\times$ performance signal  : n $\approx$ 1,200</w:t>
      </w:r>
      <w:r>
        <w:br/>
      </w:r>
      <w:r>
        <w:rPr>
          <w:rStyle w:val="VerbatimChar"/>
        </w:rPr>
        <w:t xml:space="preserve">    - Systematic reviews / meta-analyses            : n $\approx$   97</w:t>
      </w:r>
      <w:r>
        <w:br/>
      </w:r>
      <w:r>
        <w:rPr>
          <w:rStyle w:val="VerbatimChar"/>
        </w:rPr>
        <w:t xml:space="preserve">    - Qualitative / conceptual / medical            : n $\approx$  100</w:t>
      </w:r>
      <w:r>
        <w:br/>
      </w:r>
      <w:r>
        <w:rPr>
          <w:rStyle w:val="VerbatimChar"/>
        </w:rPr>
        <w:t xml:space="preserve">  Retained for Level-2 title screen:                 n =   782  ✓</w:t>
      </w:r>
      <w:r>
        <w:br/>
      </w:r>
      <w:r>
        <w:br/>
      </w:r>
      <w:r>
        <w:rPr>
          <w:rStyle w:val="VerbatimChar"/>
        </w:rPr>
        <w:t xml:space="preserve">SCREENING — Level 2 (Title Screen + UNSURE Resolution)</w:t>
      </w:r>
      <w:r>
        <w:br/>
      </w:r>
      <w:r>
        <w:rPr>
          <w:rStyle w:val="VerbatimChar"/>
        </w:rPr>
        <w:t xml:space="preserve">─────────────────────────────────────────────────────────────────</w:t>
      </w:r>
      <w:r>
        <w:br/>
      </w:r>
      <w:r>
        <w:rPr>
          <w:rStyle w:val="VerbatimChar"/>
        </w:rPr>
        <w:t xml:space="preserve">Records screened at L2 (title):                      n =   782</w:t>
      </w:r>
      <w:r>
        <w:br/>
      </w:r>
      <w:r>
        <w:rPr>
          <w:rStyle w:val="VerbatimChar"/>
        </w:rPr>
        <w:t xml:space="preserve">  Initial decisions (18 May 2026):</w:t>
      </w:r>
      <w:r>
        <w:br/>
      </w:r>
      <w:r>
        <w:rPr>
          <w:rStyle w:val="VerbatimChar"/>
        </w:rPr>
        <w:t xml:space="preserve">    Y (clearly eligible):                            n =   345</w:t>
      </w:r>
      <w:r>
        <w:br/>
      </w:r>
      <w:r>
        <w:rPr>
          <w:rStyle w:val="VerbatimChar"/>
        </w:rPr>
        <w:t xml:space="preserve">    N (clearly excluded):                            n =    35</w:t>
      </w:r>
      <w:r>
        <w:br/>
      </w:r>
      <w:r>
        <w:rPr>
          <w:rStyle w:val="VerbatimChar"/>
        </w:rPr>
        <w:t xml:space="preserve">      E1: Conceptual / editorial                     n =     4</w:t>
      </w:r>
      <w:r>
        <w:br/>
      </w:r>
      <w:r>
        <w:rPr>
          <w:rStyle w:val="VerbatimChar"/>
        </w:rPr>
        <w:t xml:space="preserve">      E2: Qualitative / case study                   n =     8</w:t>
      </w:r>
      <w:r>
        <w:br/>
      </w:r>
      <w:r>
        <w:rPr>
          <w:rStyle w:val="VerbatimChar"/>
        </w:rPr>
        <w:t xml:space="preserve">      E3: Macro-level / country-level analysis       n =     6</w:t>
      </w:r>
      <w:r>
        <w:br/>
      </w:r>
      <w:r>
        <w:rPr>
          <w:rStyle w:val="VerbatimChar"/>
        </w:rPr>
        <w:t xml:space="preserve">      E5: Export as DV (not internationalization-to-performance)          n =    17</w:t>
      </w:r>
      <w:r>
        <w:br/>
      </w:r>
      <w:r>
        <w:rPr>
          <w:rStyle w:val="VerbatimChar"/>
        </w:rPr>
        <w:t xml:space="preserve">    UNSURE (title insufficient):                     n =   402</w:t>
      </w:r>
      <w:r>
        <w:br/>
      </w:r>
      <w:r>
        <w:br/>
      </w:r>
      <w:r>
        <w:rPr>
          <w:rStyle w:val="VerbatimChar"/>
        </w:rPr>
        <w:t xml:space="preserve">  UNSURE title-only re-screen — Round 1 (script 14):</w:t>
      </w:r>
      <w:r>
        <w:br/>
      </w:r>
      <w:r>
        <w:rPr>
          <w:rStyle w:val="VerbatimChar"/>
        </w:rPr>
        <w:t xml:space="preserve">    Resolved Y:                                      n =   135</w:t>
      </w:r>
      <w:r>
        <w:br/>
      </w:r>
      <w:r>
        <w:rPr>
          <w:rStyle w:val="VerbatimChar"/>
        </w:rPr>
        <w:t xml:space="preserve">      Genuinely new (not in existing k=287):         n =   129  ✓</w:t>
      </w:r>
      <w:r>
        <w:br/>
      </w:r>
      <w:r>
        <w:rPr>
          <w:rStyle w:val="VerbatimChar"/>
        </w:rPr>
        <w:t xml:space="preserve">      Duplicates of existing database:               n =     6 to excluded</w:t>
      </w:r>
      <w:r>
        <w:br/>
      </w:r>
      <w:r>
        <w:rPr>
          <w:rStyle w:val="VerbatimChar"/>
        </w:rPr>
        <w:t xml:space="preserve">    Resolved N:                                      n =     3</w:t>
      </w:r>
      <w:r>
        <w:br/>
      </w:r>
      <w:r>
        <w:rPr>
          <w:rStyle w:val="VerbatimChar"/>
        </w:rPr>
        <w:t xml:space="preserve">    Still UNSURE after R1:                           n =   263</w:t>
      </w:r>
      <w:r>
        <w:br/>
      </w:r>
      <w:r>
        <w:br/>
      </w:r>
      <w:r>
        <w:rPr>
          <w:rStyle w:val="VerbatimChar"/>
        </w:rPr>
        <w:t xml:space="preserve">  UNSURE title-only re-screen — Round 2 (script 18, two-tier rules):</w:t>
      </w:r>
      <w:r>
        <w:br/>
      </w:r>
      <w:r>
        <w:rPr>
          <w:rStyle w:val="VerbatimChar"/>
        </w:rPr>
        <w:t xml:space="preserve">    Resolved Y (all genuinely new):                  n =    30  ✓</w:t>
      </w:r>
      <w:r>
        <w:br/>
      </w:r>
      <w:r>
        <w:rPr>
          <w:rStyle w:val="VerbatimChar"/>
        </w:rPr>
        <w:t xml:space="preserve">    Resolved N:                                      n =    29</w:t>
      </w:r>
      <w:r>
        <w:br/>
      </w:r>
      <w:r>
        <w:rPr>
          <w:rStyle w:val="VerbatimChar"/>
        </w:rPr>
        <w:t xml:space="preserve">    Still UNSURE after R2:                           n =   204</w:t>
      </w:r>
      <w:r>
        <w:br/>
      </w:r>
      <w:r>
        <w:br/>
      </w:r>
      <w:r>
        <w:rPr>
          <w:rStyle w:val="VerbatimChar"/>
        </w:rPr>
        <w:t xml:space="preserve">  UNSURE title-only re-screen — Round 3 (script 20, extended patterns):</w:t>
      </w:r>
      <w:r>
        <w:br/>
      </w:r>
      <w:r>
        <w:rPr>
          <w:rStyle w:val="VerbatimChar"/>
        </w:rPr>
        <w:t xml:space="preserve">    Resolved Y (all genuinely new):                  n =    25  ✓</w:t>
      </w:r>
      <w:r>
        <w:br/>
      </w:r>
      <w:r>
        <w:rPr>
          <w:rStyle w:val="VerbatimChar"/>
        </w:rPr>
        <w:t xml:space="preserve">    Resolved N:                                      n =    43</w:t>
      </w:r>
      <w:r>
        <w:br/>
      </w:r>
      <w:r>
        <w:rPr>
          <w:rStyle w:val="VerbatimChar"/>
        </w:rPr>
        <w:t xml:space="preserve">    Still UNSURE after R3:                           n =   136</w:t>
      </w:r>
      <w:r>
        <w:br/>
      </w:r>
      <w:r>
        <w:br/>
      </w:r>
      <w:r>
        <w:rPr>
          <w:rStyle w:val="VerbatimChar"/>
        </w:rPr>
        <w:t xml:space="preserve">  UNSURE title-only re-screen — Round 4 (script 22, capital structure / location</w:t>
      </w:r>
      <w:r>
        <w:br/>
      </w:r>
      <w:r>
        <w:rPr>
          <w:rStyle w:val="VerbatimChar"/>
        </w:rPr>
        <w:t xml:space="preserve">      strategy / antecedent/determinant exclusions; performance consequences /</w:t>
      </w:r>
      <w:r>
        <w:br/>
      </w:r>
      <w:r>
        <w:rPr>
          <w:rStyle w:val="VerbatimChar"/>
        </w:rPr>
        <w:t xml:space="preserve">      optimal multinationality / crisis resilience inclusions):</w:t>
      </w:r>
      <w:r>
        <w:br/>
      </w:r>
      <w:r>
        <w:rPr>
          <w:rStyle w:val="VerbatimChar"/>
        </w:rPr>
        <w:t xml:space="preserve">    Resolved Y (all genuinely new):                  n =    15  ✓</w:t>
      </w:r>
      <w:r>
        <w:br/>
      </w:r>
      <w:r>
        <w:rPr>
          <w:rStyle w:val="VerbatimChar"/>
        </w:rPr>
        <w:t xml:space="preserve">    Resolved N:                                      n =    34</w:t>
      </w:r>
      <w:r>
        <w:br/>
      </w:r>
      <w:r>
        <w:rPr>
          <w:rStyle w:val="VerbatimChar"/>
        </w:rPr>
        <w:t xml:space="preserve">    Still UNSURE:                                    n =    87</w:t>
      </w:r>
      <w:r>
        <w:br/>
      </w:r>
      <w:r>
        <w:br/>
      </w:r>
      <w:r>
        <w:rPr>
          <w:rStyle w:val="VerbatimChar"/>
        </w:rPr>
        <w:t xml:space="preserve">  UNSURE title-only re-screen — Round 5 (first-author manual pass, 19/05/2026):</w:t>
      </w:r>
      <w:r>
        <w:br/>
      </w:r>
      <w:r>
        <w:rPr>
          <w:rStyle w:val="VerbatimChar"/>
        </w:rPr>
        <w:t xml:space="preserve">    Resolved Y (all genuinely new):                  n =     4  ✓</w:t>
      </w:r>
      <w:r>
        <w:br/>
      </w:r>
      <w:r>
        <w:rPr>
          <w:rStyle w:val="VerbatimChar"/>
        </w:rPr>
        <w:t xml:space="preserve">    Resolved N:                                      n =    11</w:t>
      </w:r>
      <w:r>
        <w:br/>
      </w:r>
      <w:r>
        <w:rPr>
          <w:rStyle w:val="VerbatimChar"/>
        </w:rPr>
        <w:t xml:space="preserve">    Still UNSURE:                                    n =    72</w:t>
      </w:r>
      <w:r>
        <w:br/>
      </w:r>
      <w:r>
        <w:br/>
      </w:r>
      <w:r>
        <w:rPr>
          <w:rStyle w:val="VerbatimChar"/>
        </w:rPr>
        <w:t xml:space="preserve">  UNSURE title-only re-screen — Round 6 (first-author manual pass, 19/05/2026):</w:t>
      </w:r>
      <w:r>
        <w:br/>
      </w:r>
      <w:r>
        <w:rPr>
          <w:rStyle w:val="VerbatimChar"/>
        </w:rPr>
        <w:t xml:space="preserve">    Resolved Y (all genuinely new):                  n =     8  ✓</w:t>
      </w:r>
      <w:r>
        <w:br/>
      </w:r>
      <w:r>
        <w:rPr>
          <w:rStyle w:val="VerbatimChar"/>
        </w:rPr>
        <w:t xml:space="preserve">    Resolved N:                                      n =    46</w:t>
      </w:r>
      <w:r>
        <w:br/>
      </w:r>
      <w:r>
        <w:rPr>
          <w:rStyle w:val="VerbatimChar"/>
        </w:rPr>
        <w:t xml:space="preserve">    Still UNSURE:                                    n =    18</w:t>
      </w:r>
      <w:r>
        <w:br/>
      </w:r>
      <w:r>
        <w:br/>
      </w:r>
      <w:r>
        <w:rPr>
          <w:rStyle w:val="VerbatimChar"/>
        </w:rPr>
        <w:t xml:space="preserve">  UNSURE title-only re-screen — Round 7 (manual signals: book-chapter DOI,</w:t>
      </w:r>
      <w:r>
        <w:br/>
      </w:r>
      <w:r>
        <w:rPr>
          <w:rStyle w:val="VerbatimChar"/>
        </w:rPr>
        <w:t xml:space="preserve">      single-case, antecedent-DV, non-business journal, macro unit):</w:t>
      </w:r>
      <w:r>
        <w:br/>
      </w:r>
      <w:r>
        <w:rPr>
          <w:rStyle w:val="VerbatimChar"/>
        </w:rPr>
        <w:t xml:space="preserve">    Resolved Y:                                      n =     0</w:t>
      </w:r>
      <w:r>
        <w:br/>
      </w:r>
      <w:r>
        <w:rPr>
          <w:rStyle w:val="VerbatimChar"/>
        </w:rPr>
        <w:t xml:space="preserve">    Resolved N:                                      n =     8</w:t>
      </w:r>
      <w:r>
        <w:br/>
      </w:r>
      <w:r>
        <w:rPr>
          <w:rStyle w:val="VerbatimChar"/>
        </w:rPr>
        <w:t xml:space="preserve">    Still UNSURE:                                    n =    10</w:t>
      </w:r>
      <w:r>
        <w:br/>
      </w:r>
      <w:r>
        <w:br/>
      </w:r>
      <w:r>
        <w:rPr>
          <w:rStyle w:val="VerbatimChar"/>
        </w:rPr>
        <w:t xml:space="preserve">  UNSURE WebSearch abstract pass — Round 8 (19/05/2026, I-P eligibility</w:t>
      </w:r>
      <w:r>
        <w:br/>
      </w:r>
      <w:r>
        <w:rPr>
          <w:rStyle w:val="VerbatimChar"/>
        </w:rPr>
        <w:t xml:space="preserve">      criteria applied via web-sourced abstracts for all 10 remaining):</w:t>
      </w:r>
      <w:r>
        <w:br/>
      </w:r>
      <w:r>
        <w:rPr>
          <w:rStyle w:val="VerbatimChar"/>
        </w:rPr>
        <w:t xml:space="preserve">    Resolved Y (S0129, S0240, S0683):                n =     3</w:t>
      </w:r>
      <w:r>
        <w:br/>
      </w:r>
      <w:r>
        <w:rPr>
          <w:rStyle w:val="VerbatimChar"/>
        </w:rPr>
        <w:t xml:space="preserve">    Resolved N (wrong I measure/DV/focal unit):      n =     7</w:t>
      </w:r>
      <w:r>
        <w:br/>
      </w:r>
      <w:r>
        <w:rPr>
          <w:rStyle w:val="VerbatimChar"/>
        </w:rPr>
        <w:t xml:space="preserve">    Still UNSURE:                                    n =     0  ← ALL RESOLVED ✓</w:t>
      </w:r>
      <w:r>
        <w:br/>
      </w:r>
      <w:r>
        <w:br/>
      </w:r>
      <w:r>
        <w:rPr>
          <w:rStyle w:val="VerbatimChar"/>
        </w:rPr>
        <w:t xml:space="preserve">  Total L2 Y (WoS arm):                             n =   565  ✓</w:t>
      </w:r>
      <w:r>
        <w:br/>
      </w:r>
      <w:r>
        <w:rPr>
          <w:rStyle w:val="VerbatimChar"/>
        </w:rPr>
        <w:t xml:space="preserve">    (= 345 L2 Y + 135 R1 + 30 R2 + 25 R3 + 15 R4 + 4 R5 + 8 R6 + 0 R7 + 3 R8)</w:t>
      </w:r>
      <w:r>
        <w:br/>
      </w:r>
      <w:r>
        <w:br/>
      </w:r>
      <w:r>
        <w:rPr>
          <w:rStyle w:val="VerbatimChar"/>
        </w:rPr>
        <w:t xml:space="preserve">  Extraction pre-screen — Round 9 (worklist v11 to v12, 19/05/2026,</w:t>
      </w:r>
      <w:r>
        <w:br/>
      </w:r>
      <w:r>
        <w:rPr>
          <w:rStyle w:val="VerbatimChar"/>
        </w:rPr>
        <w:t xml:space="preserve">      title-pattern analysis for 92 unresolved prescreen flags):</w:t>
      </w:r>
      <w:r>
        <w:br/>
      </w:r>
      <w:r>
        <w:rPr>
          <w:rStyle w:val="VerbatimChar"/>
        </w:rPr>
        <w:t xml:space="preserve">    Y (include for extraction):                       n =    41  ✓</w:t>
      </w:r>
      <w:r>
        <w:br/>
      </w:r>
      <w:r>
        <w:rPr>
          <w:rStyle w:val="VerbatimChar"/>
        </w:rPr>
        <w:t xml:space="preserve">    N (exclude from extraction priority):             n =    51</w:t>
      </w:r>
      <w:r>
        <w:br/>
      </w:r>
      <w:r>
        <w:rPr>
          <w:rStyle w:val="VerbatimChar"/>
        </w:rPr>
        <w:t xml:space="preserve">    Still UNSURE:                                     n =     0  ← ALL RESOLVED ✓</w:t>
      </w:r>
      <w:r>
        <w:br/>
      </w:r>
      <w:r>
        <w:rPr>
          <w:rStyle w:val="VerbatimChar"/>
        </w:rPr>
        <w:t xml:space="preserve">  Extraction pool prescreen: Y=435 (81.3%), N=100 (18.7%), UNSURE=0</w:t>
      </w:r>
      <w:r>
        <w:br/>
      </w:r>
      <w:r>
        <w:br/>
      </w:r>
      <w:r>
        <w:rPr>
          <w:rStyle w:val="VerbatimChar"/>
        </w:rPr>
        <w:t xml:space="preserve">ELIGIBILITY — Deduplication vs. Prior Database</w:t>
      </w:r>
      <w:r>
        <w:br/>
      </w:r>
      <w:r>
        <w:rPr>
          <w:rStyle w:val="VerbatimChar"/>
        </w:rPr>
        <w:t xml:space="preserve">─────────────────────────────────────────────────────────────────</w:t>
      </w:r>
      <w:r>
        <w:br/>
      </w:r>
      <w:r>
        <w:rPr>
          <w:rStyle w:val="VerbatimChar"/>
        </w:rPr>
        <w:t xml:space="preserve">Deduplicated against existing k=287 coded studies:</w:t>
      </w:r>
      <w:r>
        <w:br/>
      </w:r>
      <w:r>
        <w:rPr>
          <w:rStyle w:val="VerbatimChar"/>
        </w:rPr>
        <w:t xml:space="preserve">  Confirmed genuinely new (R1):                      n =   321  ✓</w:t>
      </w:r>
      <w:r>
        <w:br/>
      </w:r>
      <w:r>
        <w:rPr>
          <w:rStyle w:val="VerbatimChar"/>
        </w:rPr>
        <w:t xml:space="preserve">  Confirmed new (R1-R8):                             n =   214  (129+30+25+15+4+8+0+3)</w:t>
      </w:r>
      <w:r>
        <w:br/>
      </w:r>
      <w:r>
        <w:rPr>
          <w:rStyle w:val="VerbatimChar"/>
        </w:rPr>
        <w:t xml:space="preserve">  Active extraction pool (worklist v12):             n =   535  ✓</w:t>
      </w:r>
      <w:r>
        <w:br/>
      </w:r>
      <w:r>
        <w:rPr>
          <w:rStyle w:val="VerbatimChar"/>
        </w:rPr>
        <w:t xml:space="preserve">  Priority extraction candidates (prescreen Y):      n =   435  (310 with DOI; 125 no-DOI)</w:t>
      </w:r>
      <w:r>
        <w:br/>
      </w:r>
      <w:r>
        <w:rPr>
          <w:rStyle w:val="VerbatimChar"/>
        </w:rPr>
        <w:t xml:space="preserve">  Full-text excluded (Path B expansion — screening ongoing): reasons:</w:t>
      </w:r>
      <w:r>
        <w:br/>
      </w:r>
      <w:r>
        <w:rPr>
          <w:rStyle w:val="VerbatimChar"/>
        </w:rPr>
        <w:t xml:space="preserve">    - No calculable r or convertible statistic</w:t>
      </w:r>
      <w:r>
        <w:br/>
      </w:r>
      <w:r>
        <w:rPr>
          <w:rStyle w:val="VerbatimChar"/>
        </w:rPr>
        <w:t xml:space="preserve">    - Unit of analysis not firm-level</w:t>
      </w:r>
      <w:r>
        <w:br/>
      </w:r>
      <w:r>
        <w:rPr>
          <w:rStyle w:val="VerbatimChar"/>
        </w:rPr>
        <w:t xml:space="preserve">    - Conference paper / thesis / working paper</w:t>
      </w:r>
      <w:r>
        <w:br/>
      </w:r>
      <w:r>
        <w:rPr>
          <w:rStyle w:val="VerbatimChar"/>
        </w:rPr>
        <w:t xml:space="preserve">    - Duplicate sample</w:t>
      </w:r>
      <w:r>
        <w:br/>
      </w:r>
      <w:r>
        <w:br/>
      </w:r>
      <w:r>
        <w:rPr>
          <w:rStyle w:val="VerbatimChar"/>
        </w:rPr>
        <w:t xml:space="preserve">NEW CANDIDATES (20 May 2026 full search, pending L2 screening):</w:t>
      </w:r>
      <w:r>
        <w:br/>
      </w:r>
      <w:r>
        <w:rPr>
          <w:rStyle w:val="VerbatimChar"/>
        </w:rPr>
        <w:t xml:space="preserve">─────────────────────────────────────────────────────────────────</w:t>
      </w:r>
      <w:r>
        <w:br/>
      </w:r>
      <w:r>
        <w:rPr>
          <w:rStyle w:val="VerbatimChar"/>
        </w:rPr>
        <w:t xml:space="preserve">  New candidates added to tracker v3:               n = 2,032  ✓</w:t>
      </w:r>
      <w:r>
        <w:br/>
      </w:r>
      <w:r>
        <w:rPr>
          <w:rStyle w:val="VerbatimChar"/>
        </w:rPr>
        <w:t xml:space="preserve">    1_DOI_FIRST (CrossRef DOI recovered):            n = 1,512  ✓</w:t>
      </w:r>
      <w:r>
        <w:br/>
      </w:r>
      <w:r>
        <w:rPr>
          <w:rStyle w:val="VerbatimChar"/>
        </w:rPr>
        <w:t xml:space="preserve">    2_NO_DOI_MANUAL (title/GS search required):      n =   520  ✓</w:t>
      </w:r>
      <w:r>
        <w:br/>
      </w:r>
      <w:r>
        <w:rPr>
          <w:rStyle w:val="VerbatimChar"/>
        </w:rPr>
        <w:t xml:space="preserve">  Working file:  fulltext_to_extraction_tracker_v3.csv</w:t>
      </w:r>
      <w:r>
        <w:br/>
      </w:r>
      <w:r>
        <w:rPr>
          <w:rStyle w:val="VerbatimChar"/>
        </w:rPr>
        <w:t xml:space="preserve">                 (2,467 rows = 435 prior + 2,032 new; 58 cols)</w:t>
      </w:r>
      <w:r>
        <w:br/>
      </w:r>
      <w:r>
        <w:rPr>
          <w:rStyle w:val="VerbatimChar"/>
        </w:rPr>
        <w:t xml:space="preserve">  Status: L2 full-text screening pending (OSF pre-registration confirmed)</w:t>
      </w:r>
      <w:r>
        <w:br/>
      </w:r>
      <w:r>
        <w:br/>
      </w:r>
      <w:r>
        <w:rPr>
          <w:rStyle w:val="VerbatimChar"/>
        </w:rPr>
        <w:t xml:space="preserve">INCLUDED</w:t>
      </w:r>
      <w:r>
        <w:br/>
      </w:r>
      <w:r>
        <w:rPr>
          <w:rStyle w:val="VerbatimChar"/>
        </w:rPr>
        <w:t xml:space="preserve">─────────────────────────────────────────────────────────────────</w:t>
      </w:r>
      <w:r>
        <w:br/>
      </w:r>
      <w:r>
        <w:rPr>
          <w:rStyle w:val="VerbatimChar"/>
        </w:rPr>
        <w:t xml:space="preserve">Studies included in meta-analysis:   k = 238 (prior DB: k = 238; updated 23/05/2026)</w:t>
      </w:r>
      <w:r>
        <w:br/>
      </w:r>
      <w:r>
        <w:rPr>
          <w:rStyle w:val="VerbatimChar"/>
        </w:rPr>
        <w:t xml:space="preserve">Effect sizes coded:                  K = 288 (prior DB: K = 288; updated 23/05/2026)</w:t>
      </w:r>
      <w:r>
        <w:br/>
      </w:r>
      <w:r>
        <w:br/>
      </w:r>
      <w:r>
        <w:rPr>
          <w:rStyle w:val="VerbatimChar"/>
        </w:rPr>
        <w:t xml:space="preserve">Note: k=238 / K=288 reflects the existing coded database (p6_study_database_v2.csv).</w:t>
      </w:r>
      <w:r>
        <w:br/>
      </w:r>
      <w:r>
        <w:rPr>
          <w:rStyle w:val="VerbatimChar"/>
        </w:rPr>
        <w:t xml:space="preserve">Final k/K will increase further as new L2 extraction from 2,032 new candidates</w:t>
      </w:r>
      <w:r>
        <w:br/>
      </w:r>
      <w:r>
        <w:rPr>
          <w:rStyle w:val="VerbatimChar"/>
        </w:rPr>
        <w:t xml:space="preserve">(fulltext_to_extraction_tracker_v3.csv) is completed.</w:t>
      </w:r>
    </w:p>
    <w:p>
      <w:pPr>
        <w:pStyle w:val="FirstParagraph"/>
      </w:pPr>
      <w:r>
        <w:rPr>
          <w:iCs/>
          <w:i/>
        </w:rPr>
        <w:t xml:space="preserve">The PRISMA checklist (Page et al., 2021) is available from the corresponding author.</w:t>
      </w:r>
    </w:p>
    <w:p>
      <w:r>
        <w:pict>
          <v:rect style="width:0;height:1.5pt" o:hralign="center" o:hrstd="t" o:hr="t"/>
        </w:pict>
      </w:r>
    </w:p>
    <w:bookmarkEnd w:id="73"/>
    <w:bookmarkStart w:id="74" w:name="appendix-b-coding-protocol-7-moderators"/>
    <w:p>
      <w:pPr>
        <w:pStyle w:val="Heading2"/>
      </w:pPr>
      <w:r>
        <w:t xml:space="preserve">Appendix B, Coding Protocol (7 Moderators)</w:t>
      </w:r>
    </w:p>
    <w:tbl>
      <w:tblPr>
        <w:tblStyle w:val="Table"/>
        <w:tblW w:type="pct" w:w="5000"/>
        <w:tblLook w:firstRow="1" w:lastRow="0" w:firstColumn="0" w:lastColumn="0" w:noHBand="0" w:noVBand="0" w:val="0020"/>
        <w:jc w:val="start"/>
      </w:tblPr>
      <w:tblGrid>
        <w:gridCol w:w="2354"/>
        <w:gridCol w:w="2782"/>
        <w:gridCol w:w="2782"/>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FR: &lt; −0.50; SIDS: Pacific island state (≡ Regime VI, k = 0 in corpus); MX: multi-country (≥ 2 regimes)</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w:t>
            </w:r>
            <w:r>
              <w:t xml:space="preserve"> </w:t>
            </w:r>
            <w:r>
              <w:t xml:space="preserve">“</w:t>
            </w:r>
            <w:r>
              <w:t xml:space="preserve">pooled</w:t>
            </w:r>
            <w:r>
              <w:t xml:space="preserve">”</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74"/>
    <w:bookmarkStart w:id="75" w:name="Xf97f952f96803e451cdf304f81d710dfb198f95"/>
    <w:p>
      <w:pPr>
        <w:pStyle w:val="Heading2"/>
      </w:pPr>
      <w:r>
        <w:t xml:space="preserve">Appendix C, Consistency Check: MetaEssentials vs. </w:t>
      </w:r>
      <w:r>
        <w:rPr>
          <w:rStyle w:val="VerbatimChar"/>
        </w:rPr>
        <w:t xml:space="preserve">metafor</w:t>
      </w:r>
    </w:p>
    <w:tbl>
      <w:tblPr>
        <w:tblStyle w:val="Table"/>
        <w:tblW w:type="pct" w:w="5000"/>
        <w:tblLook w:firstRow="1" w:lastRow="0" w:firstColumn="0" w:lastColumn="0" w:noHBand="0" w:noVBand="0" w:val="0020"/>
        <w:jc w:val="start"/>
      </w:tblPr>
      <w:tblGrid>
        <w:gridCol w:w="1146"/>
        <w:gridCol w:w="3543"/>
        <w:gridCol w:w="323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62.4%</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 within-study</w:t>
            </w:r>
          </w:p>
        </w:tc>
        <w:tc>
          <w:tcPr/>
          <w:p>
            <w:pPr>
              <w:pStyle w:val="Compact"/>
              <w:jc w:val="left"/>
            </w:pPr>
            <w:r>
              <w:t xml:space="preserve">—</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w:t>
            </w:r>
          </w:p>
        </w:tc>
        <w:tc>
          <w:tcPr/>
          <w:p>
            <w:pPr>
              <w:pStyle w:val="Compact"/>
              <w:jc w:val="left"/>
            </w:pPr>
            <w:r>
              <w:t xml:space="preserve">0.00135</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w:t>
      </w:r>
      <w:r>
        <w:t xml:space="preserve"> </w:t>
      </w:r>
      <m:oMath>
        <m:sSup>
          <m:e>
            <m:r>
              <m:t>I</m:t>
            </m:r>
          </m:e>
          <m:sup>
            <m:r>
              <m:t>2</m:t>
            </m:r>
          </m:sup>
        </m:sSup>
      </m:oMath>
      <w:r>
        <w:t xml:space="preserve"> </w:t>
      </w:r>
      <w:r>
        <w:t xml:space="preserve">in the three-level model (62.4% vs. 87.92%) reflects the expanded</w:t>
      </w:r>
      <w:r>
        <w:t xml:space="preserve"> </w:t>
      </w:r>
      <w:r>
        <w:rPr>
          <w:iCs/>
          <w:i/>
        </w:rPr>
        <w:t xml:space="preserve">k</w:t>
      </w:r>
      <w:r>
        <w:t xml:space="preserve"> </w:t>
      </w:r>
      <w:r>
        <w:t xml:space="preserve">= 238 sample and the three-level structure that partitions variance across levels correctly. The narrower 95% CI reflects the precision gain from 238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w:t>
      </w:r>
      <w:r>
        <w:rPr>
          <w:iCs/>
          <w:i/>
        </w:rPr>
        <w:t xml:space="preserve"> </w:t>
      </w:r>
      <m:oMath>
        <m:r>
          <m:rPr>
            <m:sty m:val="p"/>
          </m:rPr>
          <m:t>≈</m:t>
        </m:r>
      </m:oMath>
      <w:r>
        <w:rPr>
          <w:iCs/>
          <w:i/>
        </w:rPr>
        <w:t xml:space="preserve"> </w:t>
      </w:r>
      <w:r>
        <w:rPr>
          <w:iCs/>
          <w:i/>
        </w:rPr>
        <w:t xml:space="preserve">6,900 words</w:t>
      </w:r>
      <w:r>
        <w:t xml:space="preserve"> </w:t>
      </w:r>
      <w:r>
        <w:rPr>
          <w:iCs/>
          <w:i/>
        </w:rPr>
        <w:t xml:space="preserve">Target journal: Management Review Quarterly (Springer; Scopus Q1), which specialises in systematic reviews and meta-analyses and accommodates comprehensive length. Analyses use the verified baseline corpus (k = 238 studies, K = 288 effect sizes); the formal WoS/Scopus search expansion is ongoing and will be incorporated at revision. Effect-size coding follows the standardized protocol (Appendix B).</w:t>
      </w:r>
    </w:p>
    <w:bookmarkEnd w:id="75"/>
    <w:bookmarkEnd w:id="7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2026-05-28T13:10:39Z</dcterms:created>
  <dcterms:modified xsi:type="dcterms:W3CDTF">2026-05-28T13:10:39Z</dcterms:modified>
</cp:coreProperties>
</file>

<file path=docProps/custom.xml><?xml version="1.0" encoding="utf-8"?>
<Properties xmlns="http://schemas.openxmlformats.org/officeDocument/2006/custom-properties" xmlns:vt="http://schemas.openxmlformats.org/officeDocument/2006/docPropsVTypes"/>
</file>