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between internationalization intensity and firm performance rests on three structural prerequisites: a viable domestic market, manageable trade costs, and functional institutions. When all three are absent at once, as in Pacific Small Island Developing States (SIDS), the non-linear pattern collapses into a monotone negative relationship, which we term the Forced Internationalization Penalty (FIP): not a transient phase-1 learning cost, but a persistent structural condition arising from the compulsion to export despite systemic disadvantage. Using World Bank Enterprise Survey data from 1,469 firms across nine Pacific SIDS (2009–2025), internationalization intensity is robustly negatively associated with labour productivity (</w:t>
      </w:r>
      <m:oMath>
        <m:r>
          <m:t>β</m:t>
        </m:r>
      </m:oMath>
      <w:r>
        <w:t xml:space="preserve"> </w:t>
      </w:r>
      <w:r>
        <w:t xml:space="preserve">= −0.404, p = .032, country-and-year fixed effects) with no quadratic curvature. Technological capability and digital adoption, significant moderators in mainland Asia, are null here. These findings reframe the inverted-U as conditional rather than universal and identify boundary conditions for institutional moderation theory.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We argue that certain structural conditions, characteristic of Small Island Developing States (SIDS), eliminate the prerequisites on which the inverted-U logic depends, and that they replace the expected non-linear pattern with a monotone negative one.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We position FIP not as a peripheral anomaly but as the opposite</w:t>
      </w:r>
      <w:r>
        <w:t xml:space="preserve"> </w:t>
      </w:r>
      <w:r>
        <w:rPr>
          <w:iCs/>
          <w:i/>
        </w:rPr>
        <w:t xml:space="preserve">pole</w:t>
      </w:r>
      <w:r>
        <w:t xml:space="preserve"> </w:t>
      </w:r>
      <w:r>
        <w:t xml:space="preserve">of the I-P relationship, the theoretical counterpart against which conventional theory is properly understood. The standard inverted-U describes</w:t>
      </w:r>
      <w:r>
        <w:t xml:space="preserve"> </w:t>
      </w:r>
      <w:r>
        <w:rPr>
          <w:iCs/>
          <w:i/>
        </w:rPr>
        <w:t xml:space="preserve">internationalization-to-scale</w:t>
      </w:r>
      <w:r>
        <w:t xml:space="preserve">: in strong-institution economies, exporting is a profit-optimizing choice, and the descending limb arrives only at a very late turning point because a viable home base, manageable trade costs, and functional institutions allow firms to appropriate scale and learning gains. FIP describes the inverse logic,</w:t>
      </w:r>
      <w:r>
        <w:t xml:space="preserve"> </w:t>
      </w:r>
      <w:r>
        <w:rPr>
          <w:iCs/>
          <w:i/>
        </w:rPr>
        <w:t xml:space="preserve">internationalization-to-survive</w:t>
      </w:r>
      <w:r>
        <w:t xml:space="preserve">: when those same prerequisites are absent, firms are forced to export despite logistics costs so severe that they erode all profit, and the inverted-U collapses into a monotone negative line from the origin. The two regimes are not different points on one curve but two ends of a single theoretical continuum, with conventional theory occupying one pole and FIP the other. Far from a footnote, the FIP regime is the theoretically most revealing case. It is the analogue of a singularity, the limiting point at which the familiar laws cease to apply and, precisely in their breakdown, expose the structural prerequisites the inverted-U silently assumes but never names. Studying where the curve collapses tells us what the curve was built on.</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reshapes the logic of the I-P relationship.</w:t>
      </w:r>
    </w:p>
    <w:p>
      <w:pPr>
        <w:pStyle w:val="BodyText"/>
      </w:pPr>
      <w:r>
        <w:t xml:space="preserve">This study makes three contributions to the IB literature. First, and centrally, it introduces and theoretically defines FIP as a</w:t>
      </w:r>
      <w:r>
        <w:t xml:space="preserve"> </w:t>
      </w:r>
      <w:r>
        <w:rPr>
          <w:iCs/>
          <w:i/>
        </w:rPr>
        <w:t xml:space="preserve">general</w:t>
      </w:r>
      <w:r>
        <w:t xml:space="preserve"> </w:t>
      </w:r>
      <w:r>
        <w:t xml:space="preserve">boundary condition for institutional moderation theory, not a niche curiosity confined to remote islands. By identifying the conditions under which the inverted-U inverts, FIP demonstrates that the inverted-U is itself conditional rather than universal: it is the special case that obtains when three structural prerequisites happen to be satisfied, and FIP is the equally lawful regime that obtains when they are not. SIDS are the empirical site where this becomes visible, but the contribution is to the architecture of I-P theory writ large. We distinguish FIP from adjacent concepts that include phase-1 costs in three-stage theory (Contractor et al., 2003), Liability of Foreignness (Zaheer, 1995), and necessity entrepreneurship (Sarasvathy et al., 2014). Second, it provides empirical evidence from 1,469 firms across nine Pacific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w:t>
      </w:r>
      <w:r>
        <w:t xml:space="preserve"> </w:t>
      </w:r>
      <w:r>
        <w:t xml:space="preserve">“</w:t>
      </w:r>
      <w:r>
        <w:t xml:space="preserve">institutional moderation of the I-P relationship</w:t>
      </w:r>
      <w:r>
        <w:t xml:space="preserve">”</w:t>
      </w:r>
      <w:r>
        <w:t xml:space="preserve"> </w:t>
      </w:r>
      <w:r>
        <w:t xml:space="preserve">(Marano, Tallman, &amp; Teece, 2016) toward</w:t>
      </w:r>
      <w:r>
        <w:t xml:space="preserve"> </w:t>
      </w:r>
      <w:r>
        <w:t xml:space="preserve">“</w:t>
      </w:r>
      <w:r>
        <w:t xml:space="preserve">institutional determination of the sign of the I-P relationship.</w:t>
      </w:r>
      <w:r>
        <w:t xml:space="preserve">”</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1"/>
    <w:bookmarkStart w:id="26" w:name="theoretical-background-and-hypotheses"/>
    <w:p>
      <w:pPr>
        <w:pStyle w:val="Heading2"/>
      </w:pPr>
      <w:r>
        <w:t xml:space="preserve">2. Theoretical Background and Hypotheses</w:t>
      </w:r>
    </w:p>
    <w:bookmarkStart w:id="22" w:name="Xd1ff7c2b94994d1910854ba407ee8c9b50df341"/>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w:t>
      </w:r>
      <w:r>
        <w:t xml:space="preserve"> </w:t>
      </w:r>
      <w:r>
        <w:t xml:space="preserve">“</w:t>
      </w:r>
      <w:r>
        <w:t xml:space="preserve">selection into exporting</w:t>
      </w:r>
      <w:r>
        <w:t xml:space="preserve">”</w:t>
      </w:r>
      <w:r>
        <w:t xml:space="preserve"> </w:t>
      </w:r>
      <w:r>
        <w:t xml:space="preserve">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2"/>
    <w:bookmarkStart w:id="23" w:name="Xb7db0e39015cb6f3662a52d47fb6342a9feb2fb"/>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6db7ec46da19cbe734f496417815d07c46d6d99"/>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4"/>
    <w:bookmarkStart w:id="25" w:name="the-role-of-firm-level-capabilities"/>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data-and-methods"/>
    <w:p>
      <w:pPr>
        <w:pStyle w:val="Heading2"/>
      </w:pPr>
      <w:r>
        <w:t xml:space="preserve">3. Data and Methods</w:t>
      </w:r>
    </w:p>
    <w:bookmarkStart w:id="27" w:name="data-source"/>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7"/>
    <w:bookmarkStart w:id="28" w:name="measures"/>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w:t>
      </w:r>
      <w:r>
        <w:t xml:space="preserve"> </w:t>
      </w:r>
      <m:oMath>
        <m:sSub>
          <m:e>
            <m:r>
              <m:rPr>
                <m:nor/>
                <m:sty m:val="p"/>
              </m:rPr>
              <m:t>FSTS</m:t>
            </m:r>
          </m:e>
          <m:sub>
            <m:r>
              <m:t>c</m:t>
            </m:r>
          </m:sub>
        </m:sSub>
      </m:oMath>
      <w:r>
        <w:t xml:space="preserve"> </w:t>
      </w:r>
      <w:r>
        <w:t xml:space="preserve">=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Following Lall (1992) and Goedhuys and Sleuwaegen (2013), TCI is constructed from two WBES items: b8 (internationally recognized quality certification, binary) and e6 (licensing of foreign technology, binary).</w:t>
      </w:r>
      <w:r>
        <w:t xml:space="preserve"> </w:t>
      </w:r>
      <m:oMath>
        <m:sSub>
          <m:e>
            <m:r>
              <m:rPr>
                <m:nor/>
                <m:sty m:val="p"/>
              </m:rPr>
              <m:t>TCI</m:t>
            </m:r>
          </m:e>
          <m:sub>
            <m:r>
              <m:t>z</m:t>
            </m:r>
          </m:sub>
        </m:sSub>
      </m:oMath>
      <w:r>
        <w:t xml:space="preserve"> </w:t>
      </w:r>
      <w:r>
        <w:t xml:space="preserve">is the z-standardized mean of these two indicators.</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w:t>
      </w:r>
      <w:r>
        <w:t xml:space="preserve"> </w:t>
      </w:r>
      <m:oMath>
        <m:sSub>
          <m:e>
            <m:r>
              <m:rPr>
                <m:nor/>
                <m:sty m:val="p"/>
              </m:rPr>
              <m:t>DAI</m:t>
            </m:r>
          </m:e>
          <m:sub>
            <m:r>
              <m:t>z</m:t>
            </m:r>
          </m:sub>
        </m:sSub>
      </m:oMath>
      <w:r>
        <w:t xml:space="preserve"> </w:t>
      </w:r>
      <w:r>
        <w:t xml:space="preserve">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pct" w:w="5000"/>
        <w:tblLook w:firstRow="1" w:lastRow="0" w:firstColumn="0" w:lastColumn="0" w:noHBand="0" w:noVBand="0" w:val="0020"/>
        <w:jc w:val="start"/>
      </w:tblPr>
      <w:tblGrid>
        <w:gridCol w:w="1552"/>
        <w:gridCol w:w="2018"/>
        <w:gridCol w:w="2018"/>
        <w:gridCol w:w="2329"/>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across the full pooled sample. PPP conversion uses World Bank ICP deflators matched to survey year.</w:t>
      </w:r>
      <w:r>
        <w:t xml:space="preserve"> </w:t>
      </w:r>
      <m:oMath>
        <m:sSub>
          <m:e>
            <m:r>
              <m:rPr>
                <m:nor/>
                <m:sty m:val="p"/>
              </m:rPr>
              <m:t>FSTS</m:t>
            </m:r>
          </m:e>
          <m:sub>
            <m:r>
              <m:t>c</m:t>
            </m:r>
          </m:sub>
        </m:sSub>
      </m:oMath>
      <w:r>
        <w:t xml:space="preserve"> </w:t>
      </w:r>
      <w:r>
        <w:t xml:space="preserve">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model-sequence"/>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w:t>
      </w:r>
      <w:r>
        <w:t xml:space="preserve"> </w:t>
      </w:r>
      <m:oMath>
        <m:r>
          <m:t>α</m:t>
        </m:r>
      </m:oMath>
      <w:r>
        <w:t xml:space="preserve"> </w:t>
      </w:r>
      <w:r>
        <w:t xml:space="preserve">+</w:t>
      </w:r>
      <w:r>
        <w:t xml:space="preserve"> </w:t>
      </w:r>
      <m:oMath>
        <m:r>
          <m:t>γ</m:t>
        </m:r>
      </m:oMath>
      <w:r>
        <w:t xml:space="preserve">₁ ln_size_it +</w:t>
      </w:r>
      <w:r>
        <w:t xml:space="preserve"> </w:t>
      </w:r>
      <m:oMath>
        <m:r>
          <m:t>γ</m:t>
        </m:r>
      </m:oMath>
      <w:r>
        <w:t xml:space="preserve">₂ firm_age_it +</w:t>
      </w:r>
      <w:r>
        <w:t xml:space="preserve"> </w:t>
      </w:r>
      <m:oMath>
        <m:r>
          <m:t>γ</m:t>
        </m:r>
      </m:oMath>
      <w:r>
        <w:t xml:space="preserve">₃ foreign_own_pct_it + δ_c +</w:t>
      </w:r>
      <w:r>
        <w:t xml:space="preserve"> </w:t>
      </w:r>
      <m:oMath>
        <m:r>
          <m:t>λ</m:t>
        </m:r>
      </m:oMath>
      <w:r>
        <w:t xml:space="preserve">_t +</w:t>
      </w:r>
      <w:r>
        <w:t xml:space="preserve"> </w:t>
      </w:r>
      <m:oMath>
        <m:r>
          <m:t>ϵ</m:t>
        </m:r>
      </m:oMath>
      <w:r>
        <w:t xml:space="preserve">_it</w:t>
      </w:r>
    </w:p>
    <w:p>
      <w:pPr>
        <w:pStyle w:val="BodyText"/>
      </w:pPr>
      <w:r>
        <w:rPr>
          <w:bCs/>
          <w:b/>
        </w:rPr>
        <w:t xml:space="preserve">M1 (linear FSTS, FIP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M2 (quadratic FSTS, curvature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M3 (capabilities, moderation null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sSub>
          <m:e>
            <m:r>
              <m:t>β</m:t>
            </m:r>
          </m:e>
          <m:sub>
            <m:r>
              <m:t>3</m:t>
            </m:r>
          </m:sub>
        </m:sSub>
      </m:oMath>
      <w:r>
        <w:t xml:space="preserve"> </w:t>
      </w:r>
      <m:oMath>
        <m:sSub>
          <m:e>
            <m:r>
              <m:rPr>
                <m:nor/>
                <m:sty m:val="p"/>
              </m:rPr>
              <m:t>TCI</m:t>
            </m:r>
          </m:e>
          <m:sub>
            <m:r>
              <m:t>z</m:t>
            </m:r>
          </m:sub>
        </m:sSub>
      </m:oMath>
      <w:r>
        <w:t xml:space="preserve">_it +</w:t>
      </w:r>
      <w:r>
        <w:t xml:space="preserve"> </w:t>
      </w:r>
      <m:oMath>
        <m:sSub>
          <m:e>
            <m:r>
              <m:t>β</m:t>
            </m:r>
          </m:e>
          <m:sub>
            <m:r>
              <m:t>4</m:t>
            </m:r>
          </m:sub>
        </m:sSub>
      </m:oMath>
      <w:r>
        <w:t xml:space="preserve"> </w:t>
      </w:r>
      <m:oMath>
        <m:sSub>
          <m:e>
            <m:r>
              <m:rPr>
                <m:nor/>
                <m:sty m:val="p"/>
              </m:rPr>
              <m:t>DAI</m:t>
            </m:r>
          </m:e>
          <m:sub>
            <m:r>
              <m:t>z</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t xml:space="preserve">where δ_c denotes country fixed effects,</w:t>
      </w:r>
      <w:r>
        <w:t xml:space="preserve"> </w:t>
      </w:r>
      <m:oMath>
        <m:r>
          <m:t>λ</m:t>
        </m:r>
      </m:oMath>
      <w:r>
        <w:t xml:space="preserve">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results"/>
    <w:p>
      <w:pPr>
        <w:pStyle w:val="Heading2"/>
      </w:pPr>
      <w:r>
        <w:t xml:space="preserve">4. Results</w:t>
      </w:r>
    </w:p>
    <w:bookmarkStart w:id="31" w:name="X7564ed8aad7671c5c72c9705a49a1794e1c47b3"/>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w:t>
      </w:r>
      <w:r>
        <w:t xml:space="preserve"> </w:t>
      </w:r>
      <m:oMath>
        <m:sSup>
          <m:e>
            <m:r>
              <m:t>R</m:t>
            </m:r>
          </m:e>
          <m:sup>
            <m:r>
              <m:t>2</m:t>
            </m:r>
          </m:sup>
        </m:sSup>
      </m:oMath>
      <w:r>
        <w:t xml:space="preserve"> </w:t>
      </w:r>
      <w:r>
        <w:t xml:space="preserve">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1"/>
    <w:bookmarkStart w:id="32" w:name="X6abbfa22e96478212f3491c4cdbfe1ca192aca8"/>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w:t>
      </w:r>
      <w:r>
        <w:t xml:space="preserve"> </w:t>
      </w:r>
      <m:oMath>
        <m:sSup>
          <m:e>
            <m:r>
              <m:t>R</m:t>
            </m:r>
          </m:e>
          <m:sup>
            <m:r>
              <m:t>2</m:t>
            </m:r>
          </m:sup>
        </m:sSup>
      </m:oMath>
      <w:r>
        <w:t xml:space="preserve"> </w:t>
      </w:r>
      <w:r>
        <w:t xml:space="preserve">of 0.7992, and adding</w:t>
      </w:r>
      <w:r>
        <w:t xml:space="preserve"> </w:t>
      </w:r>
      <m:oMath>
        <m:sSub>
          <m:e>
            <m:r>
              <m:rPr>
                <m:nor/>
                <m:sty m:val="p"/>
              </m:rPr>
              <m:t>FSTS</m:t>
            </m:r>
          </m:e>
          <m:sub>
            <m:r>
              <m:t>c</m:t>
            </m:r>
          </m:sub>
        </m:sSub>
      </m:oMath>
      <w:r>
        <w:t xml:space="preserve"> </w:t>
      </w:r>
      <w:r>
        <w:t xml:space="preserve">in M1 marginally increases</w:t>
      </w:r>
      <w:r>
        <w:t xml:space="preserve"> </w:t>
      </w:r>
      <m:oMath>
        <m:sSup>
          <m:e>
            <m:r>
              <m:t>R</m:t>
            </m:r>
          </m:e>
          <m:sup>
            <m:r>
              <m:t>2</m:t>
            </m:r>
          </m:sup>
        </m:sSup>
      </m:oMath>
      <w:r>
        <w:t xml:space="preserve"> </w:t>
      </w:r>
      <w:r>
        <w:t xml:space="preserve">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w:t>
      </w:r>
      <m:oMath>
        <m:r>
          <m:t>β</m:t>
        </m:r>
      </m:oMath>
      <w:r>
        <w:t xml:space="preserve"> </w:t>
      </w:r>
      <w:r>
        <w:t xml:space="preserve">= +0.009, p = .052); foreign ownership shows a marginally negative association (</w:t>
      </w:r>
      <m:oMath>
        <m:r>
          <m:t>β</m:t>
        </m:r>
      </m:oMath>
      <w:r>
        <w:t xml:space="preserve"> </w:t>
      </w:r>
      <w:r>
        <w:t xml:space="preserve">= −0.006, p = .056), perhaps reflecting thin foreign investment efficiency in SIDS contexts; firm size is positive but non-significant (</w:t>
      </w:r>
      <m:oMath>
        <m:r>
          <m:t>β</m:t>
        </m:r>
      </m:oMath>
      <w:r>
        <w:t xml:space="preserve"> </w:t>
      </w:r>
      <w:r>
        <w:t xml:space="preserve">= +0.082, p = .242).</w:t>
      </w:r>
    </w:p>
    <w:bookmarkEnd w:id="32"/>
    <w:bookmarkStart w:id="33" w:name="Xc0a88d50ea7b5c27a76a85a44afe4aa278d46cd"/>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w:t>
      </w:r>
      <w:r>
        <w:t xml:space="preserve"> </w:t>
      </w:r>
      <m:oMath>
        <m:sSubSup>
          <m:e>
            <m:r>
              <m:rPr>
                <m:nor/>
                <m:sty m:val="p"/>
              </m:rPr>
              <m:t>FSTS</m:t>
            </m:r>
          </m:e>
          <m:sub>
            <m:r>
              <m:t>c</m:t>
            </m:r>
          </m:sub>
          <m:sup>
            <m:r>
              <m:t>2</m:t>
            </m:r>
          </m:sup>
        </m:sSubSup>
      </m:oMath>
      <w:r>
        <w:t xml:space="preserve"> </w:t>
      </w:r>
      <w:r>
        <w:t xml:space="preserve">to test whether the negative I-P relationship is eventually reversed, i.e., whether there is any inverted-U pattern with the positive portion below our data range.</w:t>
      </w:r>
    </w:p>
    <w:p>
      <w:pPr>
        <w:pStyle w:val="BodyText"/>
      </w:pPr>
      <w:r>
        <w:t xml:space="preserve">The results are:</w:t>
      </w:r>
      <w:r>
        <w:t xml:space="preserve"> </w:t>
      </w:r>
      <m:oMath>
        <m:r>
          <m:t>β</m:t>
        </m:r>
      </m:oMath>
      <w:r>
        <w:t xml:space="preserve">(</w:t>
      </w:r>
      <m:oMath>
        <m:sSub>
          <m:e>
            <m:r>
              <m:rPr>
                <m:nor/>
                <m:sty m:val="p"/>
              </m:rPr>
              <m:t>FSTS</m:t>
            </m:r>
          </m:e>
          <m:sub>
            <m:r>
              <m:t>c</m:t>
            </m:r>
          </m:sub>
        </m:sSub>
      </m:oMath>
      <w:r>
        <w:t xml:space="preserve">) = −0.925, SE = 0.828, p = .265 (n.s.)</w:t>
      </w:r>
      <w:r>
        <w:t xml:space="preserve"> </w:t>
      </w:r>
      <m:oMath>
        <m:r>
          <m:t>β</m:t>
        </m:r>
      </m:oMath>
      <w:r>
        <w:t xml:space="preserve">(</w:t>
      </w:r>
      <m:oMath>
        <m:sSubSup>
          <m:e>
            <m:r>
              <m:rPr>
                <m:nor/>
                <m:sty m:val="p"/>
              </m:rPr>
              <m:t>FSTS</m:t>
            </m:r>
          </m:e>
          <m:sub>
            <m:r>
              <m:t>c</m:t>
            </m:r>
          </m:sub>
          <m:sup>
            <m:r>
              <m:t>2</m:t>
            </m:r>
          </m:sup>
        </m:sSubSup>
      </m:oMath>
      <w:r>
        <w:t xml:space="preserve">)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w:t>
      </w:r>
      <w:r>
        <w:t xml:space="preserve"> </w:t>
      </w:r>
      <m:oMath>
        <m:r>
          <m:t>β</m:t>
        </m:r>
      </m:oMath>
      <w:r>
        <w:t xml:space="preserve">(</w:t>
      </w:r>
      <m:oMath>
        <m:sSub>
          <m:e>
            <m:r>
              <m:rPr>
                <m:nor/>
                <m:sty m:val="p"/>
              </m:rPr>
              <m:t>FSTS</m:t>
            </m:r>
          </m:e>
          <m:sub>
            <m:r>
              <m:t>c</m:t>
            </m:r>
          </m:sub>
        </m:sSub>
      </m:oMath>
      <w:r>
        <w:t xml:space="preserve">) = −0.925 (</w:t>
      </w:r>
      <w:r>
        <w:rPr>
          <w:iCs/>
          <w:i/>
        </w:rPr>
        <w:t xml:space="preserve">p</w:t>
      </w:r>
      <w:r>
        <w:t xml:space="preserve"> </w:t>
      </w:r>
      <w:r>
        <w:t xml:space="preserve">= .265),</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w:t>
      </w:r>
      <w:r>
        <w:t xml:space="preserve"> </w:t>
      </w:r>
      <m:oMath>
        <m:sSub>
          <m:e>
            <m:r>
              <m:t>β</m:t>
            </m:r>
          </m:e>
          <m:sub>
            <m:r>
              <m:t>2</m:t>
            </m:r>
          </m:sub>
        </m:sSub>
      </m:oMath>
      <w:r>
        <w:t xml:space="preserve"> </w:t>
      </w:r>
      <w:r>
        <w:t xml:space="preserve">&lt; 0):</w:t>
      </w:r>
      <w:r>
        <w:t xml:space="preserve"> </w:t>
      </w:r>
      <m:oMath>
        <m:r>
          <m:t>β</m:t>
        </m:r>
      </m:oMath>
      <w:r>
        <w:t xml:space="preserve">(</w:t>
      </w:r>
      <m:oMath>
        <m:sSubSup>
          <m:e>
            <m:r>
              <m:rPr>
                <m:nor/>
                <m:sty m:val="p"/>
              </m:rPr>
              <m:t>FSTS</m:t>
            </m:r>
          </m:e>
          <m:sub>
            <m:r>
              <m:t>c</m:t>
            </m:r>
          </m:sub>
          <m:sup>
            <m:r>
              <m:t>2</m:t>
            </m:r>
          </m:sup>
        </m:sSubSup>
      </m:oMath>
      <w:r>
        <w:t xml:space="preserve">) = +0.649 (</w:t>
      </w:r>
      <w:r>
        <w:rPr>
          <w:iCs/>
          <w:i/>
        </w:rPr>
        <w:t xml:space="preserve">p</w:t>
      </w:r>
      <w:r>
        <w:t xml:space="preserve"> </w:t>
      </w:r>
      <w:r>
        <w:t xml:space="preserve">= .508),</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w:t>
      </w:r>
      <w:r>
        <w:t xml:space="preserve"> </w:t>
      </w:r>
      <m:oMath>
        <m:r>
          <m:rPr>
            <m:sty m:val="p"/>
          </m:rPr>
          <m:t>×</m:t>
        </m:r>
      </m:oMath>
      <w:r>
        <w:t xml:space="preserve"> </w:t>
      </w:r>
      <w:r>
        <w:t xml:space="preserve">0.649) = 0.712,</w:t>
      </w:r>
      <w:r>
        <w:t xml:space="preserve"> </w:t>
      </w:r>
      <w:r>
        <w:rPr>
          <w:bCs/>
          <w:b/>
        </w:rPr>
        <w:t xml:space="preserve">implied turning point lies outside the observed sample maximum (</w:t>
      </w:r>
      <m:oMath>
        <m:sSub>
          <m:e>
            <m:r>
              <m:rPr>
                <m:nor/>
                <m:sty m:val="p"/>
              </m:rPr>
              <m:t>FSTS</m:t>
            </m:r>
          </m:e>
          <m:sub>
            <m:r>
              <m:t>m</m:t>
            </m:r>
          </m:sub>
        </m:sSub>
      </m:oMath>
      <w:r>
        <w:rPr>
          <w:bCs/>
          <w:b/>
        </w:rPr>
        <w:t xml:space="preserve">ax</w:t>
      </w:r>
      <w:r>
        <w:rPr>
          <w:bCs/>
          <w:b/>
        </w:rPr>
        <w:t xml:space="preserve"> </w:t>
      </w:r>
      <m:oMath>
        <m:r>
          <m:rPr>
            <m:sty m:val="p"/>
          </m:rPr>
          <m:t>≈</m:t>
        </m:r>
      </m:oMath>
      <w:r>
        <w:rPr>
          <w:bCs/>
          <w:b/>
        </w:rPr>
        <w:t xml:space="preserve"> </w:t>
      </w:r>
      <w:r>
        <w:rPr>
          <w:bCs/>
          <w:b/>
        </w:rPr>
        <w:t xml:space="preserve">0.80, but neither</w:t>
      </w:r>
      <w:r>
        <w:rPr>
          <w:bCs/>
          <w:b/>
        </w:rPr>
        <w:t xml:space="preserve"> </w:t>
      </w:r>
      <m:oMath>
        <m:sSub>
          <m:e>
            <m:r>
              <m:t>β</m:t>
            </m:r>
          </m:e>
          <m:sub>
            <m:r>
              <m:t>1</m:t>
            </m:r>
          </m:sub>
        </m:sSub>
      </m:oMath>
      <w:r>
        <w:rPr>
          <w:bCs/>
          <w:b/>
        </w:rPr>
        <w:t xml:space="preserve"> </w:t>
      </w:r>
      <w:r>
        <w:rPr>
          <w:bCs/>
          <w:b/>
        </w:rPr>
        <w:t xml:space="preserve">nor</w:t>
      </w:r>
      <w:r>
        <w:rPr>
          <w:bCs/>
          <w:b/>
        </w:rPr>
        <w:t xml:space="preserve"> </w:t>
      </w:r>
      <m:oMath>
        <m:sSub>
          <m:e>
            <m:r>
              <m:t>β</m:t>
            </m:r>
          </m:e>
          <m:sub>
            <m:r>
              <m:t>2</m:t>
            </m:r>
          </m:sub>
        </m:sSub>
      </m:oMath>
      <w:r>
        <w:rPr>
          <w:bCs/>
          <w:b/>
        </w:rPr>
        <w:t xml:space="preserve"> </w:t>
      </w:r>
      <w:r>
        <w:rPr>
          <w:bCs/>
          <w:b/>
        </w:rPr>
        <w:t xml:space="preserve">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robustness"/>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m:oMath>
        <m:r>
          <m:t>β</m:t>
        </m:r>
      </m:oMath>
      <w:r>
        <w:t xml:space="preserve">(FSTS)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m:oMath>
        <m:r>
          <m:t>β</m:t>
        </m:r>
      </m:oMath>
      <w:r>
        <w:t xml:space="preserve">(FSTS)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4"/>
    <w:bookmarkStart w:id="35" w:name="capability-null-results-h2"/>
    <w:p>
      <w:pPr>
        <w:pStyle w:val="Heading3"/>
      </w:pPr>
      <w:r>
        <w:t xml:space="preserve">4.5 Capability Null Results (H2)</w:t>
      </w:r>
    </w:p>
    <w:p>
      <w:pPr>
        <w:pStyle w:val="FirstParagraph"/>
      </w:pPr>
      <w:r>
        <w:rPr>
          <w:bCs/>
          <w:b/>
        </w:rPr>
        <w:t xml:space="preserve">M3</w:t>
      </w:r>
      <w:r>
        <w:t xml:space="preserve"> </w:t>
      </w:r>
      <w:r>
        <w:t xml:space="preserve">introduces</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as additional regressors to test H2. Neither variable achieves statistical significance:</w:t>
      </w:r>
    </w:p>
    <w:p>
      <w:pPr>
        <w:pStyle w:val="BodyText"/>
      </w:pPr>
      <m:oMath>
        <m:r>
          <m:t>β</m:t>
        </m:r>
      </m:oMath>
      <w:r>
        <w:t xml:space="preserve">(</w:t>
      </w:r>
      <m:oMath>
        <m:sSub>
          <m:e>
            <m:r>
              <m:rPr>
                <m:nor/>
                <m:sty m:val="p"/>
              </m:rPr>
              <m:t>TCI</m:t>
            </m:r>
          </m:e>
          <m:sub>
            <m:r>
              <m:t>z</m:t>
            </m:r>
          </m:sub>
        </m:sSub>
      </m:oMath>
      <w:r>
        <w:t xml:space="preserve">) = +0.058, SE = 0.085, p = .495 (n.s.)</w:t>
      </w:r>
      <w:r>
        <w:t xml:space="preserve"> </w:t>
      </w:r>
      <m:oMath>
        <m:r>
          <m:t>β</m:t>
        </m:r>
      </m:oMath>
      <w:r>
        <w:t xml:space="preserve">(</w:t>
      </w:r>
      <m:oMath>
        <m:sSub>
          <m:e>
            <m:r>
              <m:rPr>
                <m:nor/>
                <m:sty m:val="p"/>
              </m:rPr>
              <m:t>DAI</m:t>
            </m:r>
          </m:e>
          <m:sub>
            <m:r>
              <m:t>z</m:t>
            </m:r>
          </m:sub>
        </m:sSub>
      </m:oMath>
      <w:r>
        <w:t xml:space="preserve">) = +0.062, SE = 0.073, p = .402 (n.s.)</w:t>
      </w:r>
    </w:p>
    <w:p>
      <w:pPr>
        <w:pStyle w:val="BodyText"/>
      </w:pPr>
      <w:r>
        <w:t xml:space="preserve">The FIP coefficient (</w:t>
      </w:r>
      <m:oMath>
        <m:sSub>
          <m:e>
            <m:r>
              <m:rPr>
                <m:nor/>
                <m:sty m:val="p"/>
              </m:rPr>
              <m:t>FSTS</m:t>
            </m:r>
          </m:e>
          <m:sub>
            <m:r>
              <m:t>c</m:t>
            </m:r>
          </m:sub>
        </m:sSub>
      </m:oMath>
      <w:r>
        <w:t xml:space="preserve">) remains negative but loses significance in M3 (</w:t>
      </w:r>
      <m:oMath>
        <m:r>
          <m:t>β</m:t>
        </m:r>
      </m:oMath>
      <w:r>
        <w:t xml:space="preserve"> </w:t>
      </w:r>
      <w:r>
        <w:t xml:space="preserve">= −0.974, p = .252), likely reflecting the substantially reduced sample (N = 526 for M3, versus N = 1,469 for M1, due to missing capability variables). The direction of the</w:t>
      </w:r>
      <w:r>
        <w:t xml:space="preserve"> </w:t>
      </w:r>
      <m:oMath>
        <m:sSub>
          <m:e>
            <m:r>
              <m:rPr>
                <m:nor/>
                <m:sty m:val="p"/>
              </m:rPr>
              <m:t>FSTS</m:t>
            </m:r>
          </m:e>
          <m:sub>
            <m:r>
              <m:t>c</m:t>
            </m:r>
          </m:sub>
        </m:sSub>
      </m:oMath>
      <w:r>
        <w:t xml:space="preserve"> </w:t>
      </w:r>
      <w:r>
        <w:t xml:space="preserve">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w:t>
      </w:r>
      <m:oMath>
        <m:sSub>
          <m:e>
            <m:r>
              <m:rPr>
                <m:nor/>
                <m:sty m:val="p"/>
              </m:rPr>
              <m:t>TCI</m:t>
            </m:r>
          </m:e>
          <m:sub>
            <m:r>
              <m:t>z</m:t>
            </m:r>
          </m:sub>
        </m:sSub>
      </m:oMath>
      <w:r>
        <w:t xml:space="preserve">:</w:t>
      </w:r>
      <w:r>
        <w:t xml:space="preserve"> </w:t>
      </w:r>
      <m:oMath>
        <m:r>
          <m:t>β</m:t>
        </m:r>
      </m:oMath>
      <w:r>
        <w:t xml:space="preserve"> </w:t>
      </w:r>
      <w:r>
        <w:t xml:space="preserve">= +0.058, SE = 0.085, p = .495) and digital adoption (</w:t>
      </w:r>
      <m:oMath>
        <m:sSub>
          <m:e>
            <m:r>
              <m:rPr>
                <m:nor/>
                <m:sty m:val="p"/>
              </m:rPr>
              <m:t>DAI</m:t>
            </m:r>
          </m:e>
          <m:sub>
            <m:r>
              <m:t>z</m:t>
            </m:r>
          </m:sub>
        </m:sSub>
      </m:oMath>
      <w:r>
        <w:t xml:space="preserve">:</w:t>
      </w:r>
      <w:r>
        <w:t xml:space="preserve"> </w:t>
      </w:r>
      <m:oMath>
        <m:r>
          <m:t>β</m:t>
        </m:r>
      </m:oMath>
      <w:r>
        <w:t xml:space="preserve"> </w:t>
      </w:r>
      <w:r>
        <w:t xml:space="preserve">= +0.062, SE = 0.073, p = .402) do not statistically significantly moderate the I-P relationship in Pacific SIDS, consistent with the FIP mechanism overwhelming capability effects in structurally constrained SIDS economies. The positive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summary"/>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w:t>
      </w:r>
      <w:r>
        <w:t xml:space="preserve"> </w:t>
      </w:r>
      <m:oMath>
        <m:r>
          <m:t>β</m:t>
        </m:r>
      </m:oMath>
      <w:r>
        <w:t xml:space="preserve"> </w:t>
      </w:r>
      <w:r>
        <w:t xml:space="preserve">= −0.404, p = .032); (ii) no significant quadratic curvature or turning point (M2: both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non-significant); (iii) robustly negative across four specifications (M_yearFE:</w:t>
      </w:r>
      <w:r>
        <w:t xml:space="preserve"> </w:t>
      </w:r>
      <m:oMath>
        <m:r>
          <m:t>β</m:t>
        </m:r>
      </m:oMath>
      <w:r>
        <w:t xml:space="preserve"> </w:t>
      </w:r>
      <w:r>
        <w:t xml:space="preserve">= −1.236, p &lt; .001; M_bivariate:</w:t>
      </w:r>
      <w:r>
        <w:t xml:space="preserve"> </w:t>
      </w:r>
      <m:oMath>
        <m:r>
          <m:t>β</m:t>
        </m:r>
      </m:oMath>
      <w:r>
        <w:t xml:space="preserve"> </w:t>
      </w:r>
      <w:r>
        <w:t xml:space="preserve">= −1.596, p &lt; .001; exporters-only:</w:t>
      </w:r>
      <w:r>
        <w:t xml:space="preserve"> </w:t>
      </w:r>
      <m:oMath>
        <m:r>
          <m:t>β</m:t>
        </m:r>
      </m:oMath>
      <w:r>
        <w:t xml:space="preserve"> </w:t>
      </w:r>
      <w:r>
        <w:t xml:space="preserve">= −0.901, p = .027); and (iv) null capability moderation (M3:</w:t>
      </w:r>
      <w:r>
        <w:t xml:space="preserve"> </w:t>
      </w:r>
      <m:oMath>
        <m:sSub>
          <m:e>
            <m:r>
              <m:rPr>
                <m:nor/>
                <m:sty m:val="p"/>
              </m:rPr>
              <m:t>TCI</m:t>
            </m:r>
          </m:e>
          <m:sub>
            <m:r>
              <m:t>z</m:t>
            </m:r>
          </m:sub>
        </m:sSub>
      </m:oMath>
      <w:r>
        <w:t xml:space="preserve"> </w:t>
      </w:r>
      <w:r>
        <w:t xml:space="preserve">p = .495;</w:t>
      </w:r>
      <w:r>
        <w:t xml:space="preserve"> </w:t>
      </w:r>
      <m:oMath>
        <m:sSub>
          <m:e>
            <m:r>
              <m:rPr>
                <m:nor/>
                <m:sty m:val="p"/>
              </m:rPr>
              <m:t>DAI</m:t>
            </m:r>
          </m:e>
          <m:sub>
            <m:r>
              <m:t>z</m:t>
            </m:r>
          </m:sub>
        </m:sSub>
      </m:oMath>
      <w:r>
        <w:t xml:space="preserve"> </w:t>
      </w:r>
      <w:r>
        <w:t xml:space="preserve">p = .402).</w:t>
      </w:r>
    </w:p>
    <w:p>
      <w:r>
        <w:pict>
          <v:rect style="width:0;height:1.5pt" o:hralign="center" o:hrstd="t" o:hr="t"/>
        </w:pict>
      </w:r>
    </w:p>
    <w:bookmarkEnd w:id="36"/>
    <w:bookmarkEnd w:id="37"/>
    <w:bookmarkStart w:id="43" w:name="discussion"/>
    <w:p>
      <w:pPr>
        <w:pStyle w:val="Heading2"/>
      </w:pPr>
      <w:r>
        <w:t xml:space="preserve">5. Discussion</w:t>
      </w:r>
    </w:p>
    <w:bookmarkStart w:id="38" w:name="Xd4d8ec5bfb52f8d3fe2e7c438ba390b633573fa"/>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w:t>
      </w:r>
      <w:r>
        <w:t xml:space="preserve"> </w:t>
      </w:r>
      <w:r>
        <w:t xml:space="preserve">“</w:t>
      </w:r>
      <w:r>
        <w:t xml:space="preserve">cost of doing business</w:t>
      </w:r>
      <w:r>
        <w:t xml:space="preserve">”</w:t>
      </w:r>
      <w:r>
        <w:t xml:space="preserve"> </w:t>
      </w:r>
      <w:r>
        <w:t xml:space="preserve">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w:t>
      </w:r>
      <w:r>
        <w:t xml:space="preserve"> </w:t>
      </w:r>
      <w:r>
        <w:t xml:space="preserve">“</w:t>
      </w:r>
      <w:r>
        <w:t xml:space="preserve">weaker moderation</w:t>
      </w:r>
      <w:r>
        <w:t xml:space="preserve">”</w:t>
      </w:r>
      <w:r>
        <w:t xml:space="preserve"> </w:t>
      </w:r>
      <w:r>
        <w:t xml:space="preserve">to</w:t>
      </w:r>
      <w:r>
        <w:t xml:space="preserve"> </w:t>
      </w:r>
      <w:r>
        <w:t xml:space="preserve">“</w:t>
      </w:r>
      <w:r>
        <w:t xml:space="preserve">violated prerequisites,</w:t>
      </w:r>
      <w:r>
        <w:t xml:space="preserve">”</w:t>
      </w:r>
      <w:r>
        <w:t xml:space="preserve"> </w:t>
      </w:r>
      <w:r>
        <w:t xml:space="preserve">the sign of the I-P relationship reverses, not merely its magnitude.</w:t>
      </w:r>
    </w:p>
    <w:p>
      <w:pPr>
        <w:pStyle w:val="BodyText"/>
      </w:pPr>
      <w:r>
        <w:t xml:space="preserve">Read this way, conventional theory and FIP are the two poles of a single continuum rather than a rule and its exception. At the strong-institution pole, internationalization is internationalization-to-scale: a firm such as a Singaporean exporter operates on the long ascending limb where exporting optimizes profit margins, and the turning point arrives very late because the home base, trade costs, and institutions all permit scale and learning gains to be appropriated. At the opposite pole, internationalization is internationalization-to-survive: SIDS firms are forced to export despite trade-cost amplifications that erode all profit, and the curve collapses into a monotone negative line. The value of the FIP pole is not that it is rare but that it is diagnostic. It is the theoretically most revealing case precisely because it is the singularity at which the inverted-U breaks down, and where the breakdown lays bare the structural prerequisites the standard model assumes but leaves unstated. The conventional curve never had to declare its dependence on a viable home market, on bearable logistics, and on functioning institutions, because in mainstream samples those conditions are always present; only at the FIP pole, where they vanish together, does that hidden dependence become observable. FIP therefore contributes a general boundary condition to institutional moderation theory: it specifies the limit at which moderation of degree gives way to determination of sign.</w:t>
      </w:r>
    </w:p>
    <w:bookmarkEnd w:id="38"/>
    <w:bookmarkStart w:id="39" w:name="Xbadf487e3d91c7f5e5de16c24aa3b4c984ad28e"/>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w:t>
      </w:r>
      <w:r>
        <w:t xml:space="preserve"> </w:t>
      </w:r>
      <w:r>
        <w:t xml:space="preserve">“</w:t>
      </w:r>
      <w:r>
        <w:t xml:space="preserve">intensity moderation</w:t>
      </w:r>
      <w:r>
        <w:t xml:space="preserve">”</w:t>
      </w:r>
      <w:r>
        <w:t xml:space="preserve"> </w:t>
      </w:r>
      <w:r>
        <w:t xml:space="preserve">toward</w:t>
      </w:r>
      <w:r>
        <w:t xml:space="preserve"> </w:t>
      </w:r>
      <w:r>
        <w:t xml:space="preserve">“</w:t>
      </w:r>
      <w:r>
        <w:t xml:space="preserve">existence moderation</w:t>
      </w:r>
      <w:r>
        <w:t xml:space="preserve">”</w:t>
      </w:r>
      <w:r>
        <w:t xml:space="preserve"> </w:t>
      </w:r>
      <w:r>
        <w:t xml:space="preserve">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39"/>
    <w:bookmarkStart w:id="40" w:name="X83134c98a606fe0940406da95e076e069d717cc"/>
    <w:p>
      <w:pPr>
        <w:pStyle w:val="Heading3"/>
      </w:pPr>
      <w:r>
        <w:t xml:space="preserve">5.3 The Capability Null: Institutional Determination vs. Moderation</w:t>
      </w:r>
    </w:p>
    <w:p>
      <w:pPr>
        <w:pStyle w:val="FirstParagraph"/>
      </w:pPr>
      <w:r>
        <w:t xml:space="preserve">The null results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w:t>
      </w:r>
      <w:r>
        <w:t xml:space="preserve"> </w:t>
      </w:r>
      <w:r>
        <w:t xml:space="preserve">“</w:t>
      </w:r>
      <w:r>
        <w:t xml:space="preserve">trapped</w:t>
      </w:r>
      <w:r>
        <w:t xml:space="preserve">”</w:t>
      </w:r>
      <w:r>
        <w:t xml:space="preserve"> </w:t>
      </w:r>
      <w:r>
        <w:t xml:space="preserve">inside the firm, unable to translate into performance advantages through international market transactions.</w:t>
      </w:r>
    </w:p>
    <w:p>
      <w:pPr>
        <w:pStyle w:val="BodyText"/>
      </w:pPr>
      <w:r>
        <w:t xml:space="preserve">The positive though non-significant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0"/>
    <w:bookmarkStart w:id="41" w:name="Xf8f5a8a03ba0839ca8278bd9312f3d61be61a50"/>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1"/>
    <w:bookmarkStart w:id="42" w:name="limitations"/>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although we pool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our sample, represent a natural extension context.</w:t>
      </w:r>
    </w:p>
    <w:p>
      <w:r>
        <w:pict>
          <v:rect style="width:0;height:1.5pt" o:hralign="center" o:hrstd="t" o:hr="t"/>
        </w:pict>
      </w:r>
    </w:p>
    <w:bookmarkEnd w:id="42"/>
    <w:bookmarkEnd w:id="43"/>
    <w:bookmarkStart w:id="44" w:name="conclusions"/>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SIDS economies, we find robust support for FIP across four empirical specifications (</w:t>
      </w:r>
      <m:oMath>
        <m:r>
          <m:t>β</m:t>
        </m:r>
      </m:oMath>
      <w:r>
        <w:t xml:space="preserve"> </w:t>
      </w:r>
      <w:r>
        <w:t xml:space="preserve">= −0.404, p = .032 in the primary country-and-year fixed-effects model;</w:t>
      </w:r>
      <w:r>
        <w:t xml:space="preserve"> </w:t>
      </w:r>
      <m:oMath>
        <m:r>
          <m:t>β</m:t>
        </m:r>
      </m:oMath>
      <w:r>
        <w:t xml:space="preserve"> </w:t>
      </w:r>
      <w:r>
        <w:t xml:space="preserve">= −1.236, p &lt; .001 without country fixed effects;</w:t>
      </w:r>
      <w:r>
        <w:t xml:space="preserve"> </w:t>
      </w:r>
      <m:oMath>
        <m:r>
          <m:t>β</m:t>
        </m:r>
      </m:oMath>
      <w:r>
        <w:t xml:space="preserve"> </w:t>
      </w:r>
      <w:r>
        <w:t xml:space="preserve">= −0.901, p =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w:t>
      </w:r>
      <w:r>
        <w:t xml:space="preserve"> </w:t>
      </w:r>
      <w:r>
        <w:t xml:space="preserve">“</w:t>
      </w:r>
      <w:r>
        <w:t xml:space="preserve">institutional moderation of I-P intensity</w:t>
      </w:r>
      <w:r>
        <w:t xml:space="preserve">”</w:t>
      </w:r>
      <w:r>
        <w:t xml:space="preserve"> </w:t>
      </w:r>
      <w:r>
        <w:t xml:space="preserve">toward</w:t>
      </w:r>
      <w:r>
        <w:t xml:space="preserve"> </w:t>
      </w:r>
      <w:r>
        <w:t xml:space="preserve">“</w:t>
      </w:r>
      <w:r>
        <w:t xml:space="preserve">institutional determination of I-P sign,</w:t>
      </w:r>
      <w:r>
        <w:t xml:space="preserve">”</w:t>
      </w:r>
      <w:r>
        <w:t xml:space="preserve"> </w:t>
      </w:r>
      <w:r>
        <w:t xml:space="preserve">which establishes the inverted-U as conditional on structural prerequisites rather than universal. FIP and conventional theory are best understood as the two poles of one continuum: internationalization-to-scale, where exporting optimizes margins and the turning point is very late, and internationalization-to-survive, where firms are compelled to export despite profit-eroding logistics costs and the curve collapses to a monotone negative line. The SIDS case is valuable not because it is exotic but because it is the singularity at which the standard model breaks down and thereby reveals the prerequisites it silently assumes; FIP names that limiting regime and supplies a general boundary condition for institutional moderation theory. Second, they extend the application of</w:t>
      </w:r>
      <w:r>
        <w:t xml:space="preserve"> </w:t>
      </w:r>
      <w:r>
        <w:t xml:space="preserve">“</w:t>
      </w:r>
      <w:r>
        <w:t xml:space="preserve">forced internationalization</w:t>
      </w:r>
      <w:r>
        <w:t xml:space="preserve">”</w:t>
      </w:r>
      <w:r>
        <w:t xml:space="preserve"> </w:t>
      </w:r>
      <w:r>
        <w:t xml:space="preserve">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5"/>
    <w:bookmarkStart w:id="49" w:name="appendix-a-tables"/>
    <w:p>
      <w:pPr>
        <w:pStyle w:val="Heading2"/>
      </w:pPr>
      <w:r>
        <w:t xml:space="preserve">Appendix A: Tables</w:t>
      </w:r>
    </w:p>
    <w:bookmarkStart w:id="46" w:name="Xd18a7fdbbe8955432f108664659551dd8892246"/>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6"/>
    <w:bookmarkStart w:id="47" w:name="Xc02e42e5e85356a7e9f67ce8450f39d43a89fec"/>
    <w:p>
      <w:pPr>
        <w:pStyle w:val="Heading3"/>
      </w:pPr>
      <w:r>
        <w:t xml:space="preserve">Table 2. Regression Results: Internationalization Intensity and Labor Productivity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w:t>
      </w:r>
      <w:r>
        <w:rPr>
          <w:iCs/>
          <w:i/>
        </w:rPr>
        <w:t xml:space="preserve"> </w:t>
      </w:r>
      <m:oMath>
        <m:r>
          <m:t>β</m:t>
        </m:r>
      </m:oMath>
      <w:r>
        <w:rPr>
          <w:iCs/>
          <w:i/>
        </w:rPr>
        <w:t xml:space="preserve">(</w:t>
      </w:r>
      <m:oMath>
        <m:sSub>
          <m:e>
            <m:r>
              <m:rPr>
                <m:nor/>
                <m:sty m:val="p"/>
              </m:rPr>
              <m:t>FSTS</m:t>
            </m:r>
          </m:e>
          <m:sub>
            <m:r>
              <m:t>c</m:t>
            </m:r>
          </m:sub>
        </m:sSub>
      </m:oMath>
      <w:r>
        <w:rPr>
          <w:iCs/>
          <w:i/>
        </w:rPr>
        <w:t xml:space="preserve">) = −0.404, p = .032 (M1).</w:t>
      </w:r>
    </w:p>
    <w:bookmarkEnd w:id="47"/>
    <w:bookmarkStart w:id="48" w:name="X88215d8362bdd28b5211c3a1f81522f9e049dc2"/>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w:t>
      </w:r>
      <m:oMath>
        <m:r>
          <m:t>β</m:t>
        </m:r>
      </m:oMath>
      <w:r>
        <w:rPr>
          <w:iCs/>
          <w:i/>
        </w:rPr>
        <w:t xml:space="preserve"> </w:t>
      </w:r>
      <w:r>
        <w:rPr>
          <w:iCs/>
          <w:i/>
        </w:rPr>
        <w:t xml:space="preserve">= −0.901) addresses adverse selection concern: among active exporters, intensifying exports further worsens performance.</w:t>
      </w:r>
    </w:p>
    <w:bookmarkEnd w:id="48"/>
    <w:bookmarkEnd w:id="49"/>
    <w:bookmarkEnd w:id="5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2026-05-28T13:10:55Z</dcterms:created>
  <dcterms:modified xsi:type="dcterms:W3CDTF">2026-05-28T13:10:55Z</dcterms:modified>
</cp:coreProperties>
</file>

<file path=docProps/custom.xml><?xml version="1.0" encoding="utf-8"?>
<Properties xmlns="http://schemas.openxmlformats.org/officeDocument/2006/custom-properties" xmlns:vt="http://schemas.openxmlformats.org/officeDocument/2006/docPropsVTypes"/>
</file>