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Turning points remain within a tight range (49.4% in 2012, 47.2% in 2024, 48.8% pooled) with overlapping confidence intervals. Paternoster tests do not reject coefficient equality across waves (FSTS z = +0.82, p = .412;</w:t>
      </w:r>
      <w:r>
        <w:t xml:space="preserve"> </w:t>
      </w:r>
      <m:oMath>
        <m:sSup>
          <m:e>
            <m:r>
              <m:rPr>
                <m:nor/>
                <m:sty m:val="p"/>
              </m:rPr>
              <m:t>FSTS</m:t>
            </m:r>
          </m:e>
          <m:sup>
            <m:r>
              <m:t>2</m:t>
            </m:r>
          </m:sup>
        </m:sSup>
      </m:oMath>
      <w:r>
        <w:t xml:space="preserve"> </w:t>
      </w:r>
      <w:r>
        <w:t xml:space="preserve">z = −0.61, p = .545), supporting H2b (structural durability) over H2a (environmental shift). Technological capability is robustly associated with productivity in both waves (</w:t>
      </w:r>
      <m:oMath>
        <m:r>
          <m:t>β</m:t>
        </m:r>
      </m:oMath>
      <w:r>
        <w:t xml:space="preserve">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w:t>
      </w:r>
      <w:r>
        <w:t xml:space="preserve"> </w:t>
      </w:r>
      <m:oMath>
        <m:sSup>
          <m:e>
            <m:r>
              <m:rPr>
                <m:nor/>
                <m:sty m:val="p"/>
              </m:rPr>
              <m:t>FSTS</m:t>
            </m:r>
          </m:e>
          <m:sup>
            <m:r>
              <m:t>2</m:t>
            </m:r>
          </m:sup>
        </m:sSup>
      </m:oMath>
      <w:r>
        <w:t xml:space="preserve"> </w:t>
      </w:r>
      <w:r>
        <w:t xml:space="preserve">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w:t>
      </w:r>
      <m:oMath>
        <m:sSub>
          <m:e>
            <m:r>
              <m:rPr>
                <m:nor/>
                <m:sty m:val="p"/>
              </m:rPr>
              <m:t>TCI</m:t>
            </m:r>
          </m:e>
          <m:sub>
            <m:r>
              <m:t>f</m:t>
            </m:r>
          </m:sub>
        </m:sSub>
      </m:oMath>
      <w:r>
        <w:t xml:space="preserve">ull) is a robust positive predictor of productivity in both waves (</w:t>
      </w:r>
      <m:oMath>
        <m:r>
          <m:t>β</m:t>
        </m:r>
      </m:oMath>
      <w:r>
        <w:t xml:space="preserve">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w:t>
      </w:r>
      <m:oMath>
        <m:sSub>
          <m:e>
            <m:r>
              <m:rPr>
                <m:nor/>
                <m:sty m:val="p"/>
              </m:rPr>
              <m:t>DAI</m:t>
            </m:r>
          </m:e>
          <m:sub>
            <m:r>
              <m:t>c</m:t>
            </m:r>
          </m:sub>
        </m:sSub>
      </m:oMath>
      <w:r>
        <w:t xml:space="preserve">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w:t>
      </w:r>
      <m:oMath>
        <m:sSub>
          <m:e>
            <m:r>
              <m:rPr>
                <m:nor/>
                <m:sty m:val="p"/>
              </m:rPr>
              <m:t>TCI</m:t>
            </m:r>
          </m:e>
          <m:sub>
            <m:r>
              <m:t>f</m:t>
            </m:r>
          </m:sub>
        </m:sSub>
      </m:oMath>
      <w:r>
        <w:t xml:space="preserve">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w:t>
      </w:r>
      <m:oMath>
        <m:sSub>
          <m:e>
            <m:r>
              <m:rPr>
                <m:nor/>
                <m:sty m:val="p"/>
              </m:rPr>
              <m:t>TCI</m:t>
            </m:r>
          </m:e>
          <m:sub>
            <m:r>
              <m:t>f</m:t>
            </m:r>
          </m:sub>
        </m:sSub>
      </m:oMath>
      <w:r>
        <w:t xml:space="preserve">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w:t>
      </w:r>
      <w:r>
        <w:t xml:space="preserve"> </w:t>
      </w:r>
      <m:oMath>
        <m:sSub>
          <m:e>
            <m:r>
              <m:t>β</m:t>
            </m:r>
          </m:e>
          <m:sub>
            <m:r>
              <m:t>1</m:t>
            </m:r>
          </m:sub>
        </m:sSub>
      </m:oMath>
      <w:r>
        <w:t xml:space="preserve"> </w:t>
      </w:r>
      <w:r>
        <w:t xml:space="preserve">(FSTS) and</w:t>
      </w:r>
      <w:r>
        <w:t xml:space="preserve"> </w:t>
      </w:r>
      <m:oMath>
        <m:sSub>
          <m:e>
            <m:r>
              <m:t>β</m:t>
            </m:r>
          </m:e>
          <m:sub>
            <m:r>
              <m:t>2</m:t>
            </m:r>
          </m:sub>
        </m:sSub>
      </m:oMath>
      <w:r>
        <w:t xml:space="preserve"> </w:t>
      </w:r>
      <w:r>
        <w:t xml:space="preserve">(</w:t>
      </w:r>
      <m:oMath>
        <m:sSup>
          <m:e>
            <m:r>
              <m:rPr>
                <m:nor/>
                <m:sty m:val="p"/>
              </m:rPr>
              <m:t>FSTS</m:t>
            </m:r>
          </m:e>
          <m:sup>
            <m:r>
              <m:t>2</m:t>
            </m:r>
          </m:sup>
        </m:sSup>
      </m:oMath>
      <w:r>
        <w:t xml:space="preserve">)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w:t>
      </w:r>
      <m:oMath>
        <m:sSub>
          <m:e>
            <m:r>
              <m:t>β</m:t>
            </m:r>
          </m:e>
          <m:sub>
            <m:r>
              <m:t>1</m:t>
            </m:r>
          </m:sub>
        </m:sSub>
      </m:oMath>
      <w:r>
        <w:t xml:space="preserve">,</w:t>
      </w:r>
      <w:r>
        <w:t xml:space="preserve"> </w:t>
      </w:r>
      <m:oMath>
        <m:sSub>
          <m:e>
            <m:r>
              <m:t>β</m:t>
            </m:r>
          </m:e>
          <m:sub>
            <m:r>
              <m:t>2</m:t>
            </m:r>
          </m:sub>
        </m:sSub>
      </m:oMath>
      <w:r>
        <w:t xml:space="preserve">)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w:t>
      </w:r>
      <m:oMath>
        <m:sSub>
          <m:e>
            <m:r>
              <m:t>β</m:t>
            </m:r>
          </m:e>
          <m:sub>
            <m:r>
              <m:t>1</m:t>
            </m:r>
          </m:sub>
        </m:sSub>
      </m:oMath>
      <w:r>
        <w:t xml:space="preserve">,</w:t>
      </w:r>
      <w:r>
        <w:t xml:space="preserve"> </w:t>
      </w:r>
      <m:oMath>
        <m:sSub>
          <m:e>
            <m:r>
              <m:t>β</m:t>
            </m:r>
          </m:e>
          <m:sub>
            <m:r>
              <m:t>2</m:t>
            </m:r>
          </m:sub>
        </m:sSub>
      </m:oMath>
      <w:r>
        <w:t xml:space="preserve">)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w:t>
      </w:r>
      <w:r>
        <w:t xml:space="preserve"> </w:t>
      </w:r>
      <m:oMath>
        <m:sSub>
          <m:e>
            <m:r>
              <m:rPr>
                <m:nor/>
                <m:sty m:val="p"/>
              </m:rPr>
              <m:t>TCI</m:t>
            </m:r>
          </m:e>
          <m:sub>
            <m:r>
              <m:t>f</m:t>
            </m:r>
          </m:sub>
        </m:sSub>
      </m:oMath>
      <w:r>
        <w:t xml:space="preserve">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w:t>
      </w:r>
      <m:oMath>
        <m:sSub>
          <m:e>
            <m:r>
              <m:rPr>
                <m:nor/>
                <m:sty m:val="p"/>
              </m:rPr>
              <m:t>TCI</m:t>
            </m:r>
          </m:e>
          <m:sub>
            <m:r>
              <m:t>f</m:t>
            </m:r>
          </m:sub>
        </m:sSub>
      </m:oMath>
      <w:r>
        <w:t xml:space="preserve">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$\text{FSTS}^2$</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$\text{TCI}_f$ull</w:t>
      </w:r>
      <w:r>
        <w:t xml:space="preserve"> </w:t>
      </w:r>
      <w:r>
        <w:t xml:space="preserve">and</w:t>
      </w:r>
      <w:r>
        <w:t xml:space="preserve"> </w:t>
      </w:r>
      <w:r>
        <w:rPr>
          <w:rStyle w:val="VerbatimChar"/>
        </w:rPr>
        <w:t xml:space="preserve">$\text{DAI}_c$ore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m:oMath>
        <m:sSup>
          <m:e>
            <m:r>
              <m:rPr>
                <m:nor/>
                <m:sty m:val="p"/>
              </m:rPr>
              <m:t>FSTS</m:t>
            </m:r>
          </m:e>
          <m:sup>
            <m:r>
              <m:t>2</m:t>
            </m:r>
          </m:sup>
        </m:sSup>
      </m:oMath>
      <w:r>
        <w:t xml:space="preserve"> </w:t>
      </w:r>
      <w:r>
        <w:t xml:space="preserve">=</w:t>
      </w:r>
      <w:r>
        <w:t xml:space="preserve"> </w:t>
      </w:r>
      <m:oMath>
        <m:r>
          <m:rPr>
            <m:nor/>
            <m:sty m:val="p"/>
          </m:rPr>
          <m:t>FSTS</m:t>
        </m:r>
        <m:r>
          <m:rPr>
            <m:sty m:val="p"/>
          </m:rPr>
          <m:t>×</m:t>
        </m:r>
        <m:r>
          <m:rPr>
            <m:nor/>
            <m:sty m:val="p"/>
          </m:rPr>
          <m:t>FSTS</m:t>
        </m:r>
      </m:oMath>
      <w:r>
        <w:t xml:space="preserve">; included in all regression models to capture inverted-U curvature.</w:t>
      </w:r>
    </w:p>
    <w:p>
      <w:pPr>
        <w:pStyle w:val="BodyText"/>
      </w:pPr>
      <w:r>
        <w:rPr>
          <w:bCs/>
          <w:b/>
        </w:rPr>
        <w:t xml:space="preserve">Technological Capability Index (</w:t>
      </w:r>
      <m:oMath>
        <m:sSub>
          <m:e>
            <m:r>
              <m:rPr>
                <m:nor/>
                <m:sty m:val="p"/>
              </m:rPr>
              <m:t>TCI</m:t>
            </m:r>
          </m:e>
          <m:sub>
            <m:r>
              <m:t>f</m:t>
            </m:r>
          </m:sub>
        </m:sSub>
      </m:oMath>
      <w:r>
        <w:rPr>
          <w:bCs/>
          <w:b/>
        </w:rPr>
        <w:t xml:space="preserve">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w:t>
      </w:r>
      <w:r>
        <w:t xml:space="preserve"> </w:t>
      </w:r>
      <m:oMath>
        <m:sSub>
          <m:e>
            <m:r>
              <m:rPr>
                <m:nor/>
                <m:sty m:val="p"/>
              </m:rPr>
              <m:t>TCI</m:t>
            </m:r>
          </m:e>
          <m:sub>
            <m:r>
              <m:t>f</m:t>
            </m:r>
          </m:sub>
        </m:sSub>
      </m:oMath>
      <w:r>
        <w:t xml:space="preserve">ull is within-wave z-standardised before pooling.</w:t>
      </w:r>
    </w:p>
    <w:p>
      <w:pPr>
        <w:pStyle w:val="BodyText"/>
      </w:pPr>
      <w:r>
        <w:rPr>
          <w:bCs/>
          <w:b/>
        </w:rPr>
        <w:t xml:space="preserve">Digital Adoption Index (</w:t>
      </w:r>
      <m:oMath>
        <m:sSub>
          <m:e>
            <m:r>
              <m:rPr>
                <m:nor/>
                <m:sty m:val="p"/>
              </m:rPr>
              <m:t>DAI</m:t>
            </m:r>
          </m:e>
          <m:sub>
            <m:r>
              <m:t>c</m:t>
            </m:r>
          </m:sub>
        </m:sSub>
      </m:oMath>
      <w:r>
        <w:rPr>
          <w:bCs/>
          <w:b/>
        </w:rPr>
        <w:t xml:space="preserve">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w:t>
      </w:r>
      <w:r>
        <w:t xml:space="preserve"> </w:t>
      </w:r>
      <m:oMath>
        <m:sSub>
          <m:e>
            <m:r>
              <m:rPr>
                <m:nor/>
                <m:sty m:val="p"/>
              </m:rPr>
              <m:t>DAI</m:t>
            </m:r>
          </m:e>
          <m:sub>
            <m:r>
              <m:t>c</m:t>
            </m:r>
          </m:sub>
        </m:sSub>
      </m:oMath>
      <w:r>
        <w:t xml:space="preserve">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m:oMath>
        <m:sSub>
          <m:e>
            <m:r>
              <m:rPr>
                <m:nor/>
                <m:sty m:val="p"/>
              </m:rPr>
              <m:t>TCI</m:t>
            </m:r>
          </m:e>
          <m:sub>
            <m:r>
              <m:t>f</m:t>
            </m:r>
          </m:sub>
        </m:sSub>
      </m:oMath>
      <w:r>
        <w:t xml:space="preserve">ull uses a richer 4-item composite than</w:t>
      </w:r>
      <w:r>
        <w:t xml:space="preserve"> </w:t>
      </w:r>
      <m:oMath>
        <m:sSub>
          <m:e>
            <m:r>
              <m:rPr>
                <m:nor/>
                <m:sty m:val="p"/>
              </m:rPr>
              <m:t>TCI</m:t>
            </m:r>
          </m:e>
          <m:sub>
            <m:r>
              <m:t>z</m:t>
            </m:r>
          </m:sub>
        </m:sSub>
      </m:oMath>
      <w:r>
        <w:t xml:space="preserve"> </w:t>
      </w:r>
      <w:r>
        <w:t xml:space="preserve">in P3/P4 (2-item: quality cert + foreign technology adoption).</w:t>
      </w:r>
      <w:r>
        <w:t xml:space="preserve"> </w:t>
      </w:r>
      <m:oMath>
        <m:sSub>
          <m:e>
            <m:r>
              <m:rPr>
                <m:nor/>
                <m:sty m:val="p"/>
              </m:rPr>
              <m:t>DAI</m:t>
            </m:r>
          </m:e>
          <m:sub>
            <m:r>
              <m:t>c</m:t>
            </m:r>
          </m:sub>
        </m:sSub>
      </m:oMath>
      <w:r>
        <w:t xml:space="preserve">ore = Tier-1 proxy (website binary c22b), equivalent to</w:t>
      </w:r>
      <w:r>
        <w:t xml:space="preserve"> </w:t>
      </w:r>
      <m:oMath>
        <m:sSub>
          <m:e>
            <m:r>
              <m:rPr>
                <m:nor/>
                <m:sty m:val="p"/>
              </m:rPr>
              <m:t>DAI</m:t>
            </m:r>
          </m:e>
          <m:sub>
            <m:r>
              <m:t>z</m:t>
            </m:r>
          </m:sub>
        </m:sSub>
      </m:oMath>
      <w:r>
        <w:t xml:space="preserve"> </w:t>
      </w:r>
      <w:r>
        <w:t xml:space="preserve">in P3. FSTS is not mean-centred (unlike</w:t>
      </w:r>
      <w:r>
        <w:t xml:space="preserve"> </w:t>
      </w:r>
      <m:oMath>
        <m:sSub>
          <m:e>
            <m:r>
              <m:rPr>
                <m:nor/>
                <m:sty m:val="p"/>
              </m:rPr>
              <m:t>FSTS</m:t>
            </m:r>
          </m:e>
          <m:sub>
            <m:r>
              <m:t>c</m:t>
            </m:r>
          </m:sub>
        </m:sSub>
      </m:oMath>
      <w:r>
        <w:t xml:space="preserve"> </w:t>
      </w:r>
      <w:r>
        <w:t xml:space="preserve">in P3/P4); the turning-point formula TP = −</w:t>
      </w:r>
      <m:oMath>
        <m:sSub>
          <m:e>
            <m:r>
              <m:t>β</m:t>
            </m:r>
          </m:e>
          <m:sub>
            <m:r>
              <m:t>1</m:t>
            </m:r>
          </m:sub>
        </m:sSub>
      </m:oMath>
      <w:r>
        <w:t xml:space="preserve">/(2</w:t>
      </w:r>
      <m:oMath>
        <m:sSub>
          <m:e>
            <m:r>
              <m:t>β</m:t>
            </m:r>
          </m:e>
          <m:sub>
            <m:r>
              <m:t>2</m:t>
            </m:r>
          </m:sub>
        </m:sSub>
      </m:oMath>
      <w:r>
        <w:t xml:space="preserve">)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w:t>
      </w:r>
      <w:r>
        <w:t xml:space="preserve"> </w:t>
      </w:r>
      <m:oMath>
        <m:sSup>
          <m:e>
            <m:r>
              <m:rPr>
                <m:nor/>
                <m:sty m:val="p"/>
              </m:rPr>
              <m:t>FSTS</m:t>
            </m:r>
          </m:e>
          <m:sup>
            <m:r>
              <m:t>2</m:t>
            </m:r>
          </m:sup>
        </m:sSup>
      </m:oMath>
      <w:r>
        <w:t xml:space="preserve">, lnEmp, firmage, and foreigndummy.</w:t>
      </w:r>
    </w:p>
    <w:p>
      <w:pPr>
        <w:pStyle w:val="BodyText"/>
      </w:pPr>
      <w:r>
        <w:t xml:space="preserve">Turning-point estimates are derived by the delta method: TP = −</w:t>
      </w:r>
      <m:oMath>
        <m:sSub>
          <m:e>
            <m:r>
              <m:t>β</m:t>
            </m:r>
          </m:e>
          <m:sub>
            <m:r>
              <m:t>1</m:t>
            </m:r>
          </m:sub>
        </m:sSub>
      </m:oMath>
      <w:r>
        <w:t xml:space="preserve"> </w:t>
      </w:r>
      <w:r>
        <w:t xml:space="preserve">/ (2</w:t>
      </w:r>
      <m:oMath>
        <m:sSub>
          <m:e>
            <m:r>
              <m:t>β</m:t>
            </m:r>
          </m:e>
          <m:sub>
            <m:r>
              <m:t>2</m:t>
            </m:r>
          </m:sub>
        </m:sSub>
      </m:oMath>
      <w:r>
        <w:t xml:space="preserve">),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w:t>
      </w:r>
      <m:oMath>
        <m:sSub>
          <m:e>
            <m:r>
              <m:t>β</m:t>
            </m:r>
          </m:e>
          <m:sub>
            <m:r>
              <m:t>1</m:t>
            </m:r>
          </m:sub>
        </m:sSub>
      </m:oMath>
      <w:r>
        <w:t xml:space="preserve"> </w:t>
      </w:r>
      <w:r>
        <w:t xml:space="preserve">/ (2</w:t>
      </w:r>
      <m:oMath>
        <m:sSub>
          <m:e>
            <m:r>
              <m:t>β</m:t>
            </m:r>
          </m:e>
          <m:sub>
            <m:r>
              <m:t>2</m:t>
            </m:r>
          </m:sub>
        </m:sSub>
      </m:oMath>
      <w:r>
        <w:t xml:space="preserve">); Lind–Mehlum (2010) criteria verified for each wave.</w:t>
      </w:r>
    </w:p>
    <w:p>
      <w:pPr>
        <w:pStyle w:val="BodyText"/>
      </w:pPr>
      <w:r>
        <w:rPr>
          <w:bCs/>
          <w:b/>
        </w:rPr>
        <w:t xml:space="preserve">M3</w:t>
      </w:r>
      <w:r>
        <w:t xml:space="preserve"> </w:t>
      </w:r>
      <w:r>
        <w:t xml:space="preserve">(</w:t>
      </w:r>
      <m:oMath>
        <m:sSub>
          <m:e>
            <m:r>
              <m:rPr>
                <m:nor/>
                <m:sty m:val="p"/>
              </m:rPr>
              <m:t>TCI</m:t>
            </m:r>
          </m:e>
          <m:sub>
            <m:r>
              <m:t>f</m:t>
            </m:r>
          </m:sub>
        </m:sSub>
      </m:oMath>
      <w:r>
        <w:t xml:space="preserve">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w:t>
      </w:r>
      <m:oMath>
        <m:sSub>
          <m:e>
            <m:r>
              <m:rPr>
                <m:nor/>
                <m:sty m:val="p"/>
              </m:rPr>
              <m:t>TCI</m:t>
            </m:r>
          </m:e>
          <m:sub>
            <m:r>
              <m:t>f</m:t>
            </m:r>
          </m:sub>
        </m:sSub>
      </m:oMath>
      <w:r>
        <w:t xml:space="preserve">ull curvature moderation,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w:t>
      </w:r>
      <m:oMath>
        <m:sSub>
          <m:e>
            <m:r>
              <m:rPr>
                <m:nor/>
                <m:sty m:val="p"/>
              </m:rPr>
              <m:t>DAI</m:t>
            </m:r>
          </m:e>
          <m:sub>
            <m:r>
              <m:t>c</m:t>
            </m:r>
          </m:sub>
        </m:sSub>
      </m:oMath>
      <w:r>
        <w:t xml:space="preserve">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w:t>
      </w:r>
      <w:r>
        <w:t xml:space="preserve"> </w:t>
      </w:r>
      <m:oMath>
        <m:sSub>
          <m:e>
            <m:r>
              <m:t>β</m:t>
            </m:r>
          </m:e>
          <m:sub>
            <m:r>
              <m:t>1</m:t>
            </m:r>
          </m:sub>
        </m:sSub>
      </m:oMath>
      <w:r>
        <w:t xml:space="preserve"> </w:t>
      </w:r>
      <w:r>
        <w:t xml:space="preserve">upward (superior performers choose more exports), making the estimated positive FSTS slope an upper bound. The primary robustness against this concern is that (a) the turning-point estimate depends on the sign and magnitude of</w:t>
      </w:r>
      <w:r>
        <w:t xml:space="preserve"> </w:t>
      </w:r>
      <m:oMath>
        <m:sSub>
          <m:e>
            <m:r>
              <m:t>β</m:t>
            </m:r>
          </m:e>
          <m:sub>
            <m:r>
              <m:t>2</m:t>
            </m:r>
          </m:sub>
        </m:sSub>
      </m:oMath>
      <w:r>
        <w:t xml:space="preserve">, which is less susceptible to selection-direction bias than</w:t>
      </w:r>
      <w:r>
        <w:t xml:space="preserve"> </w:t>
      </w:r>
      <m:oMath>
        <m:sSub>
          <m:e>
            <m:r>
              <m:t>β</m:t>
            </m:r>
          </m:e>
          <m:sub>
            <m:r>
              <m:t>1</m:t>
            </m:r>
          </m:sub>
        </m:sSub>
      </m:oMath>
      <w:r>
        <w:t xml:space="preserve">,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w:t>
      </w:r>
      <w:r>
        <w:t xml:space="preserve"> </w:t>
      </w:r>
      <m:oMath>
        <m:r>
          <m:rPr>
            <m:sty m:val="p"/>
          </m:rPr>
          <m:t>×</m:t>
        </m:r>
      </m:oMath>
      <w:r>
        <w:t xml:space="preserve"> </w:t>
      </w:r>
      <m:oMath>
        <m:r>
          <m:rPr>
            <m:nor/>
            <m:sty m:val="p"/>
          </m:rPr>
          <m:t>FSTS</m:t>
        </m:r>
        <m:r>
          <m:rPr>
            <m:sty m:val="p"/>
          </m:rPr>
          <m:t>×</m:t>
        </m:r>
        <m:r>
          <m:rPr>
            <m:nor/>
            <m:sty m:val="p"/>
          </m:rPr>
          <m:t>TCI</m:t>
        </m:r>
      </m:oMath>
      <w:r>
        <w:t xml:space="preserve"> </w:t>
      </w:r>
      <w:r>
        <w:t xml:space="preserve">interaction terms and three joint F-tests (F1: cross-wave curvature shift; F2: within-wave capability moderation; F3: capability-conditioned cross-wave shift). Significance is evaluated at</w:t>
      </w:r>
      <w:r>
        <w:t xml:space="preserve"> </w:t>
      </w:r>
      <m:oMath>
        <m:r>
          <m:t>α</m:t>
        </m:r>
      </m:oMath>
      <w:r>
        <w:t xml:space="preserve"> </w:t>
      </w:r>
      <w:r>
        <w:t xml:space="preserve">= .05 two-tailed with Bonferroni-corrected threshold</w:t>
      </w:r>
      <w:r>
        <w:t xml:space="preserve"> </w:t>
      </w:r>
      <m:oMath>
        <m:r>
          <m:t>α</m:t>
        </m:r>
      </m:oMath>
      <w:r>
        <w:t xml:space="preserve">* = .017 for the three jointly-assessed hypotheses.</w:t>
      </w:r>
    </w:p>
    <w:p>
      <w:pPr>
        <w:pStyle w:val="BodyText"/>
      </w:pPr>
      <w:r>
        <w:rPr>
          <w:bCs/>
          <w:b/>
        </w:rPr>
        <w:t xml:space="preserve">M6 (Three-way moderation,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w:t>
      </w:r>
      <w:r>
        <w:t xml:space="preserve"> </w:t>
      </w:r>
      <m:oMath>
        <m:sSub>
          <m:e>
            <m:r>
              <m:t>β</m:t>
            </m:r>
          </m:e>
          <m:sub>
            <m:r>
              <m:t>7</m:t>
            </m:r>
          </m:sub>
        </m:sSub>
      </m:oMath>
      <w:r>
        <w:t xml:space="preserve"> </w:t>
      </w:r>
      <w:r>
        <w:t xml:space="preserve">=</w:t>
      </w:r>
      <w:r>
        <w:t xml:space="preserve"> </w:t>
      </w:r>
      <m:oMath>
        <m:sSub>
          <m:e>
            <m:r>
              <m:t>β</m:t>
            </m:r>
          </m:e>
          <m:sub>
            <m:r>
              <m:t>8</m:t>
            </m:r>
          </m:sub>
        </m:sSub>
      </m:oMath>
      <w:r>
        <w:t xml:space="preserve"> </w:t>
      </w:r>
      <w:r>
        <w:t xml:space="preserve">= 0 [H2b null, turning point stable across waves]</w:t>
      </w:r>
      <w:r>
        <w:t xml:space="preserve"> </w:t>
      </w:r>
      <w:r>
        <w:t xml:space="preserve">-</w:t>
      </w:r>
      <w:r>
        <w:t xml:space="preserve"> </w:t>
      </w:r>
      <w:r>
        <w:rPr>
          <w:bCs/>
          <w:b/>
        </w:rPr>
        <w:t xml:space="preserve">F2</w:t>
      </w:r>
      <w:r>
        <w:t xml:space="preserve"> </w:t>
      </w:r>
      <w:r>
        <w:t xml:space="preserve">(within-wave capability moderation): H₀:</w:t>
      </w:r>
      <w:r>
        <w:t xml:space="preserve"> </w:t>
      </w:r>
      <m:oMath>
        <m:sSub>
          <m:e>
            <m:r>
              <m:t>β</m:t>
            </m:r>
          </m:e>
          <m:sub>
            <m:r>
              <m:t>5</m:t>
            </m:r>
          </m:sub>
        </m:sSub>
      </m:oMath>
      <w:r>
        <w:t xml:space="preserve"> </w:t>
      </w:r>
      <w:r>
        <w:t xml:space="preserve">=</w:t>
      </w:r>
      <w:r>
        <w:t xml:space="preserve"> </w:t>
      </w:r>
      <m:oMath>
        <m:sSub>
          <m:e>
            <m:r>
              <m:t>β</m:t>
            </m:r>
          </m:e>
          <m:sub>
            <m:r>
              <m:t>6</m:t>
            </m:r>
          </m:sub>
        </m:sSub>
      </m:oMath>
      <w:r>
        <w:t xml:space="preserve"> </w:t>
      </w:r>
      <w:r>
        <w:t xml:space="preserve">= 0 [H3 null, TCI does not moderate I–P curve shape]</w:t>
      </w:r>
      <w:r>
        <w:t xml:space="preserve"> </w:t>
      </w:r>
      <w:r>
        <w:t xml:space="preserve">-</w:t>
      </w:r>
      <w:r>
        <w:t xml:space="preserve"> </w:t>
      </w:r>
      <w:r>
        <w:rPr>
          <w:bCs/>
          <w:b/>
        </w:rPr>
        <w:t xml:space="preserve">F3</w:t>
      </w:r>
      <w:r>
        <w:t xml:space="preserve"> </w:t>
      </w:r>
      <w:r>
        <w:t xml:space="preserve">(capability-conditioned cross-wave shift): H₀:</w:t>
      </w:r>
      <w:r>
        <w:t xml:space="preserve"> </w:t>
      </w:r>
      <m:oMath>
        <m:sSub>
          <m:e>
            <m:r>
              <m:t>β</m:t>
            </m:r>
          </m:e>
          <m:sub>
            <m:r>
              <m:t>9</m:t>
            </m:r>
          </m:sub>
        </m:sSub>
      </m:oMath>
      <w:r>
        <w:t xml:space="preserve"> </w:t>
      </w:r>
      <w:r>
        <w:t xml:space="preserve">=</w:t>
      </w:r>
      <w:r>
        <w:t xml:space="preserve"> </w:t>
      </w:r>
      <m:oMath>
        <m:sSub>
          <m:e>
            <m:r>
              <m:t>β</m:t>
            </m:r>
          </m:e>
          <m:sub>
            <m:r>
              <m:t>1</m:t>
            </m:r>
          </m:sub>
        </m:sSub>
      </m:oMath>
      <w:r>
        <w:t xml:space="preserve">₀ = 0 [H4b null, TCI</w:t>
      </w:r>
      <w:r>
        <w:t xml:space="preserve"> </w:t>
      </w:r>
      <m:oMath>
        <m:r>
          <m:rPr>
            <m:sty m:val="p"/>
          </m:rPr>
          <m:t>×</m:t>
        </m:r>
      </m:oMath>
      <w:r>
        <w:t xml:space="preserve"> </w:t>
      </w:r>
      <w:r>
        <w:t xml:space="preserve">wave shift is zero]</w:t>
      </w:r>
    </w:p>
    <w:p>
      <w:pPr>
        <w:pStyle w:val="BodyText"/>
      </w:pPr>
      <w:r>
        <w:t xml:space="preserve">Results: F1 = 2.24, p = .107 (NOT rejected); F2 = 3.26, p = .039 (marginal; does not survive Bonferroni</w:t>
      </w:r>
      <w:r>
        <w:t xml:space="preserve"> </w:t>
      </w:r>
      <m:oMath>
        <m:r>
          <m:t>α</m:t>
        </m:r>
      </m:oMath>
      <w:r>
        <w:t xml:space="preserve">*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w:t>
      </w:r>
      <w:r>
        <w:t xml:space="preserve"> </w:t>
      </w:r>
      <m:oMath>
        <m:sSub>
          <m:e>
            <m:r>
              <m:rPr>
                <m:nor/>
                <m:sty m:val="p"/>
              </m:rPr>
              <m:t>TCI</m:t>
            </m:r>
          </m:e>
          <m:sub>
            <m:r>
              <m:t>f</m:t>
            </m:r>
          </m:sub>
        </m:sSub>
      </m:oMath>
      <w:r>
        <w:t xml:space="preserve">ull is available for 1,639 firms in 2012 (63 %) and 1,920 firms in 2024 (99 %), reflecting a significant improvement in WBES coverage of innovation-related items in the 2024 wave.</w:t>
      </w:r>
      <w:r>
        <w:t xml:space="preserve"> </w:t>
      </w:r>
      <m:oMath>
        <m:sSub>
          <m:e>
            <m:r>
              <m:rPr>
                <m:nor/>
                <m:sty m:val="p"/>
              </m:rPr>
              <m:t>DAI</m:t>
            </m:r>
          </m:e>
          <m:sub>
            <m:r>
              <m:t>c</m:t>
            </m:r>
          </m:sub>
        </m:sSub>
      </m:oMath>
      <w:r>
        <w:t xml:space="preserve">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w:t>
      </w:r>
      <w:r>
        <w:t xml:space="preserve"> </w:t>
      </w:r>
      <m:oMath>
        <m:r>
          <m:t>β</m:t>
        </m:r>
      </m:oMath>
      <w:r>
        <w:t xml:space="preserve"> </w:t>
      </w:r>
      <w:r>
        <w:t xml:space="preserve">= +1.28, SE = 0.38, p = .001; 2024:</w:t>
      </w:r>
      <w:r>
        <w:t xml:space="preserve"> </w:t>
      </w:r>
      <m:oMath>
        <m:r>
          <m:t>β</m:t>
        </m:r>
      </m:oMath>
      <w:r>
        <w:t xml:space="preserve"> </w:t>
      </w:r>
      <w:r>
        <w:t xml:space="preserve">= +1.19, SE = 0.46, p = .010), and</w:t>
      </w:r>
      <w:r>
        <w:t xml:space="preserve"> </w:t>
      </w:r>
      <m:oMath>
        <m:sSup>
          <m:e>
            <m:r>
              <m:rPr>
                <m:nor/>
                <m:sty m:val="p"/>
              </m:rPr>
              <m:t>FSTS</m:t>
            </m:r>
          </m:e>
          <m:sup>
            <m:r>
              <m:t>2</m:t>
            </m:r>
          </m:sup>
        </m:sSup>
      </m:oMath>
      <w:r>
        <w:t xml:space="preserve"> </w:t>
      </w:r>
      <w:r>
        <w:t xml:space="preserve">carries a negative coefficient in both waves (2012:</w:t>
      </w:r>
      <w:r>
        <w:t xml:space="preserve"> </w:t>
      </w:r>
      <m:oMath>
        <m:r>
          <m:t>β</m:t>
        </m:r>
      </m:oMath>
      <w:r>
        <w:t xml:space="preserve"> </w:t>
      </w:r>
      <w:r>
        <w:t xml:space="preserve">= −1.53, SE = 0.42, p &lt; .001; 2024:</w:t>
      </w:r>
      <w:r>
        <w:t xml:space="preserve"> </w:t>
      </w:r>
      <m:oMath>
        <m:r>
          <m:t>β</m:t>
        </m:r>
      </m:oMath>
      <w:r>
        <w:t xml:space="preserve"> </w:t>
      </w:r>
      <w:r>
        <w:t xml:space="preserve">=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w:t>
      </w:r>
      <w:r>
        <w:t xml:space="preserve"> </w:t>
      </w:r>
      <m:oMath>
        <m:sSub>
          <m:e>
            <m:r>
              <m:t>β</m:t>
            </m:r>
          </m:e>
          <m:sub>
            <m:r>
              <m:t>1</m:t>
            </m:r>
          </m:sub>
        </m:sSub>
      </m:oMath>
      <w:r>
        <w:t xml:space="preserve"> </w:t>
      </w:r>
      <w:r>
        <w:t xml:space="preserve">= +1.28 (p = .001), confirming a positive ascending limb; (C2)</w:t>
      </w:r>
      <w:r>
        <w:t xml:space="preserve"> </w:t>
      </w:r>
      <m:oMath>
        <m:sSub>
          <m:e>
            <m:r>
              <m:t>β</m:t>
            </m:r>
          </m:e>
          <m:sub>
            <m:r>
              <m:t>2</m:t>
            </m:r>
          </m:sub>
        </m:sSub>
      </m:oMath>
      <w:r>
        <w:t xml:space="preserve"> </w:t>
      </w:r>
      <w:r>
        <w:t xml:space="preserve">= −1.53 (p &lt; .001), confirming concavity; (C3) the turning point TP* = 49.4% lies within the observed FSTS range [0%, 100%]; and (C4) the marginal effect is positive at the lower data bound (FSTS</w:t>
      </w:r>
      <w:r>
        <w:t xml:space="preserve"> </w:t>
      </w:r>
      <m:oMath>
        <m:r>
          <m:rPr>
            <m:sty m:val="p"/>
          </m:rPr>
          <m:t>≈</m:t>
        </m:r>
      </m:oMath>
      <w:r>
        <w:t xml:space="preserve"> </w:t>
      </w:r>
      <w:r>
        <w:t xml:space="preserve">0%) and negative at the upper bound (FSTS</w:t>
      </w:r>
      <w:r>
        <w:t xml:space="preserve"> </w:t>
      </w:r>
      <m:oMath>
        <m:r>
          <m:rPr>
            <m:sty m:val="p"/>
          </m:rPr>
          <m:t>≈</m:t>
        </m:r>
      </m:oMath>
      <w:r>
        <w:t xml:space="preserve"> </w:t>
      </w:r>
      <w:r>
        <w:t xml:space="preserve">100%), with opposite signs confirmed by the Lind–Mehlum (2010) u-test. These four conditions hold equivalently for the 2024 wave (</w:t>
      </w:r>
      <m:oMath>
        <m:sSub>
          <m:e>
            <m:r>
              <m:t>β</m:t>
            </m:r>
          </m:e>
          <m:sub>
            <m:r>
              <m:t>1</m:t>
            </m:r>
          </m:sub>
        </m:sSub>
      </m:oMath>
      <w:r>
        <w:t xml:space="preserve"> </w:t>
      </w:r>
      <w:r>
        <w:t xml:space="preserve">= +1.19,</w:t>
      </w:r>
      <w:r>
        <w:t xml:space="preserve"> </w:t>
      </w:r>
      <m:oMath>
        <m:sSub>
          <m:e>
            <m:r>
              <m:t>β</m:t>
            </m:r>
          </m:e>
          <m:sub>
            <m:r>
              <m:t>2</m:t>
            </m:r>
          </m:sub>
        </m:sSub>
      </m:oMath>
      <w:r>
        <w:t xml:space="preserve"> </w:t>
      </w:r>
      <w:r>
        <w:t xml:space="preserve">=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w:t>
      </w:r>
      <w:r>
        <w:t xml:space="preserve"> </w:t>
      </w:r>
      <m:oMath>
        <m:sSup>
          <m:e>
            <m:r>
              <m:rPr>
                <m:nor/>
                <m:sty m:val="p"/>
              </m:rPr>
              <m:t>FSTS</m:t>
            </m:r>
          </m:e>
          <m:sup>
            <m:r>
              <m:t>2</m:t>
            </m:r>
          </m:sup>
        </m:sSup>
      </m:oMath>
      <w:r>
        <w:t xml:space="preserve"> </w:t>
      </w:r>
      <w:r>
        <w:t xml:space="preserve">(z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w:t>
      </w:r>
      <m:oMath>
        <m:sSub>
          <m:e>
            <m:r>
              <m:t>β</m:t>
            </m:r>
          </m:e>
          <m:sub>
            <m:r>
              <m:t>1</m:t>
            </m:r>
          </m:sub>
        </m:sSub>
      </m:oMath>
      <w:r>
        <w:t xml:space="preserve"> </w:t>
      </w:r>
      <w:r>
        <w:t xml:space="preserve">shift: z = +0.82, p = .412) and</w:t>
      </w:r>
      <w:r>
        <w:t xml:space="preserve"> </w:t>
      </w:r>
      <m:oMath>
        <m:sSup>
          <m:e>
            <m:r>
              <m:rPr>
                <m:nor/>
                <m:sty m:val="p"/>
              </m:rPr>
              <m:t>FSTS</m:t>
            </m:r>
          </m:e>
          <m:sup>
            <m:r>
              <m:t>2</m:t>
            </m:r>
          </m:sup>
        </m:sSup>
      </m:oMath>
      <w:r>
        <w:t xml:space="preserve"> </w:t>
      </w:r>
      <w:r>
        <w:t xml:space="preserve">(</w:t>
      </w:r>
      <m:oMath>
        <m:sSub>
          <m:e>
            <m:r>
              <m:t>β</m:t>
            </m:r>
          </m:e>
          <m:sub>
            <m:r>
              <m:t>2</m:t>
            </m:r>
          </m:sub>
        </m:sSub>
      </m:oMath>
      <w:r>
        <w:t xml:space="preserve"> </w:t>
      </w:r>
      <w:r>
        <w:t xml:space="preserve">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w:t>
      </w:r>
      <w:r>
        <w:t xml:space="preserve"> </w:t>
      </w:r>
      <m:oMath>
        <m:r>
          <m:t>β</m:t>
        </m:r>
      </m:oMath>
      <w:r>
        <w:t xml:space="preserve"> </w:t>
      </w:r>
      <w:r>
        <w:t xml:space="preserve">= +1.24 (p &lt; .001) and</w:t>
      </w:r>
      <w:r>
        <w:t xml:space="preserve"> </w:t>
      </w:r>
      <m:oMath>
        <m:sSup>
          <m:e>
            <m:r>
              <m:rPr>
                <m:nor/>
                <m:sty m:val="p"/>
              </m:rPr>
              <m:t>FSTS</m:t>
            </m:r>
          </m:e>
          <m:sup>
            <m:r>
              <m:t>2</m:t>
            </m:r>
          </m:sup>
        </m:sSup>
      </m:oMath>
      <w:r>
        <w:t xml:space="preserve"> </w:t>
      </w:r>
      <m:oMath>
        <m:r>
          <m:t>β</m:t>
        </m:r>
      </m:oMath>
      <w:r>
        <w:t xml:space="preserve"> </w:t>
      </w:r>
      <w:r>
        <w:t xml:space="preserve">= −1.55 (p &lt; .001), with turning point at 48.8 % (95 % CI: 44.2–53.4 %).</w:t>
      </w:r>
    </w:p>
    <w:p>
      <w:pPr>
        <w:pStyle w:val="BodyText"/>
      </w:pPr>
      <w:r>
        <w:rPr>
          <w:bCs/>
          <w:b/>
        </w:rPr>
        <w:t xml:space="preserve">Table 2.</w:t>
      </w:r>
      <w:r>
        <w:t xml:space="preserve"> </w:t>
      </w:r>
      <w:r>
        <w:t xml:space="preserve">Main OLS results: M2 specification (lnLP ~ FSTS +</w:t>
      </w:r>
      <w:r>
        <w:t xml:space="preserve"> </w:t>
      </w:r>
      <m:oMath>
        <m:sSup>
          <m:e>
            <m:r>
              <m:rPr>
                <m:nor/>
                <m:sty m:val="p"/>
              </m:rPr>
              <m:t>FSTS</m:t>
            </m:r>
          </m:e>
          <m:sup>
            <m:r>
              <m:t>2</m:t>
            </m:r>
          </m:sup>
        </m:sSup>
      </m:oMath>
      <w:r>
        <w:t xml:space="preserve"> </w:t>
      </w:r>
      <w:r>
        <w:t xml:space="preserve">+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w:t>
      </w:r>
      <m:oMath>
        <m:sSup>
          <m:e>
            <m:r>
              <m:rPr>
                <m:nor/>
                <m:sty m:val="p"/>
              </m:rPr>
              <m:t>FSTS</m:t>
            </m:r>
          </m:e>
          <m:sup>
            <m:r>
              <m:t>2</m:t>
            </m:r>
          </m:sup>
        </m:sSup>
      </m:oMath>
      <w:r>
        <w:t xml:space="preserve">): z = −0.61, p = .545. Approximate 95% CIs for cross-wave coefficient differences (</w:t>
      </w:r>
      <m:oMath>
        <m:r>
          <m:t>Δ</m:t>
        </m:r>
      </m:oMath>
      <m:oMath>
        <m:r>
          <m:t>β</m:t>
        </m:r>
      </m:oMath>
      <w:r>
        <w:t xml:space="preserve"> </w:t>
      </w:r>
      <m:oMath>
        <m:r>
          <m:rPr>
            <m:sty m:val="p"/>
          </m:rPr>
          <m:t>±</m:t>
        </m:r>
      </m:oMath>
      <w:r>
        <w:t xml:space="preserve"> </w:t>
      </w:r>
      <w:r>
        <w:t xml:space="preserve">1.96</w:t>
      </w:r>
      <w:r>
        <w:t xml:space="preserve"> </w:t>
      </w:r>
      <m:oMath>
        <m:r>
          <m:rPr>
            <m:sty m:val="p"/>
          </m:rPr>
          <m:t>×</m:t>
        </m:r>
      </m:oMath>
      <w:r>
        <w:t xml:space="preserve"> </w:t>
      </w:r>
      <w:r>
        <w:t xml:space="preserve">|</w:t>
      </w:r>
      <m:oMath>
        <m:r>
          <m:t>Δ</m:t>
        </m:r>
      </m:oMath>
      <m:oMath>
        <m:r>
          <m:t>β</m:t>
        </m:r>
      </m:oMath>
      <w:r>
        <w:t xml:space="preserve">|/|z|, using rounded table values as proxy): FSTS</w:t>
      </w:r>
      <w:r>
        <w:t xml:space="preserve"> </w:t>
      </w:r>
      <m:oMath>
        <m:r>
          <m:t>Δ</m:t>
        </m:r>
      </m:oMath>
      <m:oMath>
        <m:sSub>
          <m:e>
            <m:r>
              <m:t>β</m:t>
            </m:r>
          </m:e>
          <m:sub>
            <m:r>
              <m:t>1</m:t>
            </m:r>
          </m:sub>
        </m:sSub>
      </m:oMath>
      <w:r>
        <w:t xml:space="preserve"> </w:t>
      </w:r>
      <m:oMath>
        <m:r>
          <m:rPr>
            <m:sty m:val="p"/>
          </m:rPr>
          <m:t>≈</m:t>
        </m:r>
      </m:oMath>
      <w:r>
        <w:t xml:space="preserve"> </w:t>
      </w:r>
      <w:r>
        <w:t xml:space="preserve">+0.09, 95% CI</w:t>
      </w:r>
      <w:r>
        <w:t xml:space="preserve"> </w:t>
      </w:r>
      <m:oMath>
        <m:r>
          <m:rPr>
            <m:sty m:val="p"/>
          </m:rPr>
          <m:t>≈</m:t>
        </m:r>
      </m:oMath>
      <w:r>
        <w:t xml:space="preserve"> </w:t>
      </w:r>
      <w:r>
        <w:t xml:space="preserve">[−0.13, +0.31];</w:t>
      </w:r>
      <w:r>
        <w:t xml:space="preserve"> </w:t>
      </w:r>
      <m:oMath>
        <m:sSup>
          <m:e>
            <m:r>
              <m:rPr>
                <m:nor/>
                <m:sty m:val="p"/>
              </m:rPr>
              <m:t>FSTS</m:t>
            </m:r>
          </m:e>
          <m:sup>
            <m:r>
              <m:t>2</m:t>
            </m:r>
          </m:sup>
        </m:sSup>
      </m:oMath>
      <w:r>
        <w:t xml:space="preserve"> </w:t>
      </w:r>
      <m:oMath>
        <m:r>
          <m:t>Δ</m:t>
        </m:r>
      </m:oMath>
      <m:oMath>
        <m:sSub>
          <m:e>
            <m:r>
              <m:t>β</m:t>
            </m:r>
          </m:e>
          <m:sub>
            <m:r>
              <m:t>2</m:t>
            </m:r>
          </m:sub>
        </m:sSub>
      </m:oMath>
      <w:r>
        <w:t xml:space="preserve"> </w:t>
      </w:r>
      <m:oMath>
        <m:r>
          <m:rPr>
            <m:sty m:val="p"/>
          </m:rPr>
          <m:t>≈</m:t>
        </m:r>
      </m:oMath>
      <w:r>
        <w:t xml:space="preserve"> </w:t>
      </w:r>
      <w:r>
        <w:t xml:space="preserve">−0.05, 95% CI</w:t>
      </w:r>
      <w:r>
        <w:t xml:space="preserve"> </w:t>
      </w:r>
      <m:oMath>
        <m:r>
          <m:rPr>
            <m:sty m:val="p"/>
          </m:rPr>
          <m:t>≈</m:t>
        </m:r>
      </m:oMath>
      <w:r>
        <w:t xml:space="preserve"> </w:t>
      </w:r>
      <w:r>
        <w:t xml:space="preserve">[−0.21, +0.11]. Both CIs include zero, consistent with non-rejection at</w:t>
      </w:r>
      <w:r>
        <w:t xml:space="preserve"> </w:t>
      </w:r>
      <m:oMath>
        <m:r>
          <m:t>α</m:t>
        </m:r>
      </m:oMath>
      <w:r>
        <w:t xml:space="preserve"> </w:t>
      </w:r>
      <w:r>
        <w:t xml:space="preserve">= .05. Exact</w:t>
      </w:r>
      <w:r>
        <w:t xml:space="preserve"> </w:t>
      </w:r>
      <m:oMath>
        <m:r>
          <m:t>Δ</m:t>
        </m:r>
      </m:oMath>
      <m:oMath>
        <m:r>
          <m:t>β</m:t>
        </m:r>
      </m:oMath>
      <w:r>
        <w:t xml:space="preserve"> </w:t>
      </w:r>
      <w:r>
        <w:t xml:space="preserve">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w:t>
      </w:r>
      <w:r>
        <w:t xml:space="preserve"> </w:t>
      </w:r>
      <m:oMath>
        <m:r>
          <m:t>α</m:t>
        </m:r>
      </m:oMath>
      <w:r>
        <w:t xml:space="preserve"> </w:t>
      </w:r>
      <w:r>
        <w:t xml:space="preserve">= .05); F2 (capability moderation within-wave) = 3.26, p = .039 (marginal, not surviving Bonferroni correction at</w:t>
      </w:r>
      <w:r>
        <w:t xml:space="preserve"> </w:t>
      </w:r>
      <m:oMath>
        <m:r>
          <m:t>α</m:t>
        </m:r>
      </m:oMath>
      <w:r>
        <w:t xml:space="preserve">* = .017); F3 (capability-conditioned cross-wave shift) = 0.27, p = .760 (NOT rejected). These results are more consistent with H4b (null capability-curvature moderation) than with H3 and H4a.</w:t>
      </w:r>
    </w:p>
    <w:p>
      <w:pPr>
        <w:pStyle w:val="BodyText"/>
      </w:pPr>
      <w:r>
        <w:t xml:space="preserve">However, the direct effects of</w:t>
      </w:r>
      <w:r>
        <w:t xml:space="preserve"> </w:t>
      </w:r>
      <m:oMath>
        <m:sSub>
          <m:e>
            <m:r>
              <m:rPr>
                <m:nor/>
                <m:sty m:val="p"/>
              </m:rPr>
              <m:t>TCI</m:t>
            </m:r>
          </m:e>
          <m:sub>
            <m:r>
              <m:t>f</m:t>
            </m:r>
          </m:sub>
        </m:sSub>
      </m:oMath>
      <w:r>
        <w:t xml:space="preserve">ull are positive and significant in both waves (</w:t>
      </w:r>
      <m:oMath>
        <m:r>
          <m:t>β</m:t>
        </m:r>
      </m:oMath>
      <w:r>
        <w:t xml:space="preserve">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w:t>
      </w:r>
      <m:oMath>
        <m:sSub>
          <m:e>
            <m:r>
              <m:rPr>
                <m:nor/>
                <m:sty m:val="p"/>
              </m:rPr>
              <m:t>TCI</m:t>
            </m:r>
          </m:e>
          <m:sub>
            <m:r>
              <m:t>f</m:t>
            </m:r>
          </m:sub>
        </m:sSub>
      </m:oMath>
      <w:r>
        <w:t xml:space="preserve">ull) and digital adoption (</w:t>
      </w:r>
      <m:oMath>
        <m:sSub>
          <m:e>
            <m:r>
              <m:rPr>
                <m:nor/>
                <m:sty m:val="p"/>
              </m:rPr>
              <m:t>DAI</m:t>
            </m:r>
          </m:e>
          <m:sub>
            <m:r>
              <m:t>c</m:t>
            </m:r>
          </m:sub>
        </m:sSub>
      </m:oMath>
      <w:r>
        <w:t xml:space="preserve">ore) by wave for Chinese private firms. Error bars are 95 % HC1-robust confidence intervals. Both</w:t>
      </w:r>
      <w:r>
        <w:t xml:space="preserve"> </w:t>
      </w:r>
      <m:oMath>
        <m:sSub>
          <m:e>
            <m:r>
              <m:rPr>
                <m:nor/>
                <m:sty m:val="p"/>
              </m:rPr>
              <m:t>TCI</m:t>
            </m:r>
          </m:e>
          <m:sub>
            <m:r>
              <m:t>f</m:t>
            </m:r>
          </m:sub>
        </m:sSub>
      </m:oMath>
      <w:r>
        <w:t xml:space="preserve">ull and</w:t>
      </w:r>
      <w:r>
        <w:t xml:space="preserve"> </w:t>
      </w:r>
      <m:oMath>
        <m:sSub>
          <m:e>
            <m:r>
              <m:rPr>
                <m:nor/>
                <m:sty m:val="p"/>
              </m:rPr>
              <m:t>DAI</m:t>
            </m:r>
          </m:e>
          <m:sub>
            <m:r>
              <m:t>c</m:t>
            </m:r>
          </m:sub>
        </m:sSub>
      </m:oMath>
      <w:r>
        <w:t xml:space="preserve">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m:oMath>
        <m:sSub>
          <m:e>
            <m:r>
              <m:rPr>
                <m:nor/>
                <m:sty m:val="p"/>
              </m:rPr>
              <m:t>DAI</m:t>
            </m:r>
          </m:e>
          <m:sub>
            <m:r>
              <m:t>c</m:t>
            </m:r>
          </m:sub>
        </m:sSub>
      </m:oMath>
      <w:r>
        <w:t xml:space="preserve">ore (own-website) is positive and significant in both waves (</w:t>
      </w:r>
      <m:oMath>
        <m:r>
          <m:t>β</m:t>
        </m:r>
      </m:oMath>
      <w:r>
        <w:t xml:space="preserve">_z</w:t>
      </w:r>
      <w:r>
        <w:t xml:space="preserve"> </w:t>
      </w:r>
      <m:oMath>
        <m:r>
          <m:rPr>
            <m:sty m:val="p"/>
          </m:rPr>
          <m:t>≈</m:t>
        </m:r>
      </m:oMath>
      <w:r>
        <w:t xml:space="preserve"> </w:t>
      </w:r>
      <w:r>
        <w:t xml:space="preserve">+0.10 in 2012, p = .002; +0.12 in 2024, p &lt; .001) when entered as a control in M2. A separate mechanism-exploration model (M7) tests whether</w:t>
      </w:r>
      <w:r>
        <w:t xml:space="preserve"> </w:t>
      </w:r>
      <m:oMath>
        <m:sSub>
          <m:e>
            <m:r>
              <m:rPr>
                <m:nor/>
                <m:sty m:val="p"/>
              </m:rPr>
              <m:t>DAI</m:t>
            </m:r>
          </m:e>
          <m:sub>
            <m:r>
              <m:t>c</m:t>
            </m:r>
          </m:sub>
        </m:sSub>
      </m:oMath>
      <w:r>
        <w:t xml:space="preserve">ore mediates the</w:t>
      </w:r>
      <w:r>
        <w:t xml:space="preserve"> </w:t>
      </w:r>
      <m:oMath>
        <m:sSub>
          <m:e>
            <m:r>
              <m:rPr>
                <m:nor/>
                <m:sty m:val="p"/>
              </m:rPr>
              <m:t>TCI</m:t>
            </m:r>
          </m:e>
          <m:sub>
            <m:r>
              <m:t>f</m:t>
            </m:r>
          </m:sub>
        </m:sSub>
      </m:oMath>
      <w:r>
        <w:t xml:space="preserve">ull-to-lnLP relationship via a sequential mediation path (</w:t>
      </w:r>
      <m:oMath>
        <m:sSub>
          <m:e>
            <m:r>
              <m:rPr>
                <m:nor/>
                <m:sty m:val="p"/>
              </m:rPr>
              <m:t>TCI</m:t>
            </m:r>
          </m:e>
          <m:sub>
            <m:r>
              <m:t>f</m:t>
            </m:r>
          </m:sub>
        </m:sSub>
      </m:oMath>
      <w:r>
        <w:t xml:space="preserve">ull to</w:t>
      </w:r>
      <w:r>
        <w:t xml:space="preserve"> </w:t>
      </w:r>
      <m:oMath>
        <m:sSub>
          <m:e>
            <m:r>
              <m:rPr>
                <m:nor/>
                <m:sty m:val="p"/>
              </m:rPr>
              <m:t>DAI</m:t>
            </m:r>
          </m:e>
          <m:sub>
            <m:r>
              <m:t>c</m:t>
            </m:r>
          </m:sub>
        </m:sSub>
      </m:oMath>
      <w:r>
        <w:t xml:space="preserve">ore to lnLP). Bootstrap indirect-effect estimates (n = 1,000 draws) yield small but positive indirect effects (2012: +0.018, 95 % CI [0.004, 0.039]; 2024: +0.022, 95 % CI [0.007, 0.043]), consistent with a partial-mediation reading. However, because</w:t>
      </w:r>
      <w:r>
        <w:t xml:space="preserve"> </w:t>
      </w:r>
      <m:oMath>
        <m:sSub>
          <m:e>
            <m:r>
              <m:rPr>
                <m:nor/>
                <m:sty m:val="p"/>
              </m:rPr>
              <m:t>DAI</m:t>
            </m:r>
          </m:e>
          <m:sub>
            <m:r>
              <m:t>c</m:t>
            </m:r>
          </m:sub>
        </m:sSub>
      </m:oMath>
      <w:r>
        <w:t xml:space="preserve">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w:t>
      </w:r>
      <w:r>
        <w:t xml:space="preserve"> </w:t>
      </w:r>
      <m:oMath>
        <m:sSup>
          <m:e>
            <m:r>
              <m:rPr>
                <m:nor/>
                <m:sty m:val="p"/>
              </m:rPr>
              <m:t>FSTS</m:t>
            </m:r>
          </m:e>
          <m:sup>
            <m:r>
              <m:t>2</m:t>
            </m:r>
          </m:sup>
        </m:sSup>
      </m:oMath>
      <w:r>
        <w:t xml:space="preserve"> </w:t>
      </w:r>
      <w:r>
        <w:t xml:space="preserve">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w:t>
      </w:r>
      <w:r>
        <w:t xml:space="preserve"> </w:t>
      </w:r>
      <m:oMath>
        <m:sSup>
          <m:e>
            <m:r>
              <m:rPr>
                <m:nor/>
                <m:sty m:val="p"/>
              </m:rPr>
              <m:t>FSTS</m:t>
            </m:r>
          </m:e>
          <m:sup>
            <m:r>
              <m:t>2</m:t>
            </m:r>
          </m:sup>
        </m:sSup>
      </m:oMath>
      <w:r>
        <w:t xml:space="preserve"> </w:t>
      </w:r>
      <w:r>
        <w:t xml:space="preserve">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w:t>
      </w:r>
      <w:r>
        <w:t xml:space="preserve"> </w:t>
      </w:r>
      <m:oMath>
        <m:r>
          <m:t>α</m:t>
        </m:r>
      </m:oMath>
      <w:r>
        <w:t xml:space="preserve">* = .017, and is consistent with H4b) has a precise interpretation.</w:t>
      </w:r>
      <w:r>
        <w:t xml:space="preserve"> </w:t>
      </w:r>
      <m:oMath>
        <m:sSub>
          <m:e>
            <m:r>
              <m:rPr>
                <m:nor/>
                <m:sty m:val="p"/>
              </m:rPr>
              <m:t>TCI</m:t>
            </m:r>
          </m:e>
          <m:sub>
            <m:r>
              <m:t>f</m:t>
            </m:r>
          </m:sub>
        </m:sSub>
      </m:oMath>
      <w:r>
        <w:t xml:space="preserve">ull raises the productivity intercept in both waves (</w:t>
      </w:r>
      <m:oMath>
        <m:r>
          <m:t>β</m:t>
        </m:r>
      </m:oMath>
      <w:r>
        <w:t xml:space="preserve">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m:oMath>
        <m:sSub>
          <m:e>
            <m:r>
              <m:rPr>
                <m:nor/>
                <m:sty m:val="p"/>
              </m:rPr>
              <m:t>DAI</m:t>
            </m:r>
          </m:e>
          <m:sub>
            <m:r>
              <m:t>c</m:t>
            </m:r>
          </m:sub>
        </m:sSub>
      </m:oMath>
      <w:r>
        <w:t xml:space="preserve">ore (own-website) enters positively and significantly in both waves but does not add explanatory power to the inverted-U curvature beyond</w:t>
      </w:r>
      <w:r>
        <w:t xml:space="preserve"> </w:t>
      </w:r>
      <m:oMath>
        <m:sSub>
          <m:e>
            <m:r>
              <m:rPr>
                <m:nor/>
                <m:sty m:val="p"/>
              </m:rPr>
              <m:t>TCI</m:t>
            </m:r>
          </m:e>
          <m:sub>
            <m:r>
              <m:t>f</m:t>
            </m:r>
          </m:sub>
        </m:sSub>
      </m:oMath>
      <w:r>
        <w:t xml:space="preserve">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w:t>
      </w:r>
      <w:r>
        <w:t xml:space="preserve"> </w:t>
      </w:r>
      <m:oMath>
        <m:sSub>
          <m:e>
            <m:r>
              <m:rPr>
                <m:nor/>
                <m:sty m:val="p"/>
              </m:rPr>
              <m:t>TCI</m:t>
            </m:r>
          </m:e>
          <m:sub>
            <m:r>
              <m:t>f</m:t>
            </m:r>
          </m:sub>
        </m:sSub>
      </m:oMath>
      <w:r>
        <w:t xml:space="preserve">ull composite relies on self-reported WBES items, which introduces common-method bias within each wave; future work could triangulate with administrative patent or certification registry data to validate the composite. The single-item</w:t>
      </w:r>
      <w:r>
        <w:t xml:space="preserve"> </w:t>
      </w:r>
      <m:oMath>
        <m:sSub>
          <m:e>
            <m:r>
              <m:rPr>
                <m:nor/>
                <m:sty m:val="p"/>
              </m:rPr>
              <m:t>DAI</m:t>
            </m:r>
          </m:e>
          <m:sub>
            <m:r>
              <m:t>c</m:t>
            </m:r>
          </m:sub>
        </m:sSub>
      </m:oMath>
      <w:r>
        <w:t xml:space="preserve">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w:t>
      </w:r>
      <w:r>
        <w:t xml:space="preserve"> </w:t>
      </w:r>
      <m:oMath>
        <m:sSub>
          <m:e>
            <m:r>
              <m:rPr>
                <m:nor/>
                <m:sty m:val="p"/>
              </m:rPr>
              <m:t>TCI</m:t>
            </m:r>
          </m:e>
          <m:sub>
            <m:r>
              <m:t>f</m:t>
            </m:r>
          </m:sub>
        </m:sSub>
      </m:oMath>
      <w:r>
        <w:t xml:space="preserve">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w:t>
      </w:r>
      <w:r>
        <w:t xml:space="preserve"> </w:t>
      </w:r>
      <m:oMath>
        <m:sSup>
          <m:e>
            <m:r>
              <m:rPr>
                <m:nor/>
                <m:sty m:val="p"/>
              </m:rPr>
              <m:t>FSTS</m:t>
            </m:r>
          </m:e>
          <m:sup>
            <m:r>
              <m:t>2</m:t>
            </m:r>
          </m:sup>
        </m:sSup>
      </m:oMath>
      <w:r>
        <w:t xml:space="preserve"> </w:t>
      </w:r>
      <w:r>
        <w:t xml:space="preserve">z = −0.61, p = .545), supporting H2b (structural durability). Technological capability is a robust positive level-shifter of productivity (</w:t>
      </w:r>
      <m:oMath>
        <m:r>
          <m:t>β</m:t>
        </m:r>
      </m:oMath>
      <w:r>
        <w:t xml:space="preserve">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2026-05-28T13:10:31Z</dcterms:created>
  <dcterms:modified xsi:type="dcterms:W3CDTF">2026-05-28T13:10:31Z</dcterms:modified>
</cp:coreProperties>
</file>

<file path=docProps/custom.xml><?xml version="1.0" encoding="utf-8"?>
<Properties xmlns="http://schemas.openxmlformats.org/officeDocument/2006/custom-properties" xmlns:vt="http://schemas.openxmlformats.org/officeDocument/2006/docPropsVTypes"/>
</file>