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32" w:name="chương-1-giới-thiệu"/>
    <w:p>
      <w:pPr>
        <w:pStyle w:val="Heading1"/>
      </w:pPr>
      <w:r>
        <w:t xml:space="preserve">CHƯƠNG 1: GIỚI THIỆU</w:t>
      </w:r>
    </w:p>
    <w:p>
      <w:pPr>
        <w:pStyle w:val="FirstParagraph"/>
      </w:pPr>
      <w:r>
        <w:t xml:space="preserve">Chương mở đầu đặt nền cho toàn bộ luận án. Chương lần lượt làm rõ vì sao mối quan hệ giữa quốc tế hóa và hiệu quả hoạt động kinh doanh của doanh nghiệp vẫn là một vấn đề chưa có lời giải dứt khoát, vì sao châu Á và khu vực lân cận lại là bối cảnh thích hợp đặc biệt để xử lý vấn đề ấy, và luận án này dự kiến đóng góp gì cho tài liệu nghiên cứu kinh doanh quốc tế. Trên cơ sở đó, chương trình bày mục tiêu, câu hỏi nghiên cứu, đối tượng và phạm vi, khái quát phương pháp cùng dữ liệu, những đóng góp mới, và sau cùng là kết cấu của luận án.</w:t>
      </w:r>
    </w:p>
    <w:p>
      <w:r>
        <w:pict>
          <v:rect style="width:0;height:1.5pt" o:hralign="center" o:hrstd="t" o:hr="t"/>
        </w:pict>
      </w:r>
    </w:p>
    <w:bookmarkStart w:id="20" w:name="tính-cấp-thiết-và-bối-cảnh-nghiên-cứu"/>
    <w:p>
      <w:pPr>
        <w:pStyle w:val="Heading2"/>
      </w:pPr>
      <w:r>
        <w:t xml:space="preserve">1.1 Tính cấp thiết và bối cảnh nghiên cứu</w:t>
      </w:r>
    </w:p>
    <w:p>
      <w:pPr>
        <w:pStyle w:val="FirstParagraph"/>
      </w:pPr>
      <w:r>
        <w:t xml:space="preserve">Cùng một mức cường độ xuất khẩu có thể nâng một doanh nghiệp ở nền kinh tế thể chế mạnh lên đỉnh năng suất, nhưng lại đẩy một doanh nghiệp ở quốc đảo nhỏ Thái Bình Dương vào vòng suy giảm đơn điệu. Chính nghịch lý đó, cùng một hành vi quốc tế hóa nhưng cho hai kết cục trái ngược tùy chế độ thể chế, là điểm khởi đầu của luận án này. Quốc tế hóa doanh nghiệp đã là một trong những chủ đề trung tâm của kinh doanh quốc tế (international business) suốt hơn nửa thế kỷ qua. Kể từ khi Johanson và Vahlne (1977) đề xuất mô hình Uppsala về quá trình quốc tế hóa tuần tự, gần nửa thế kỷ nghiên cứu đã tích lũy quanh một câu hỏi cốt lõi mà đến nay vẫn chưa có lời đáp dứt khoát: quốc tế hóa có thực sự cải thiện hiệu quả hoạt động của doanh nghiệp hay không, và nếu có thì trong những điều kiện nào? Lu và Beamish (2004) cung cấp bằng chứng then chốt về quan hệ hình chữ S giữa mức độ quốc tế hóa và hiệu quả, còn Contractor et al. (2003) cùng nhiều nghiên cứu kế tiếp tiếp tục thách thức, bổ sung và điều chỉnh kết luận đó. Điều đáng chú ý không phải là sự thiếu vắng bằng chứng. Vấn đề nằm ở sự phân tán của nó. Mối quan hệ giữa quốc tế hóa và hiệu quả hoạt động kinh doanh (internationalization-performance, I-P) là có thực, nhưng phức tạp và phụ thuộc vào nhiều điều kiện biên. Chính tính điều kiện này, chứ không phải bản thân dấu của hiệu ứng, mới là vấn đề lý thuyết cần được giải quyết.</w:t>
      </w:r>
    </w:p>
    <w:p>
      <w:pPr>
        <w:pStyle w:val="BodyText"/>
      </w:pPr>
      <w:r>
        <w:t xml:space="preserve">Luận án lập luận rằng sự phân tán ấy không phải là nhiễu thống kê, mà là dấu vết của hai chế độ quốc tế hóa khác nhau về bản chất, cùng tồn tại trong một khu vực. Ở một cực là</w:t>
      </w:r>
      <w:r>
        <w:t xml:space="preserve"> </w:t>
      </w:r>
      <w:r>
        <w:rPr>
          <w:bCs/>
          <w:b/>
        </w:rPr>
        <w:t xml:space="preserve">quốc tế hóa để mở rộng quy mô</w:t>
      </w:r>
      <w:r>
        <w:t xml:space="preserve"> </w:t>
      </w:r>
      <w:r>
        <w:t xml:space="preserve">(internationalization-to-scale): tại các nền kinh tế thể chế mạnh như Singapore, xuất khẩu là công cụ tối ưu hóa biên lợi nhuận, và đường cong hiệu quả gần như đơn điệu dương với điểm uốn rất muộn, vào khoảng 82% cường độ xuất khẩu, nghĩa là càng xuất khẩu càng có lãi. Ở cực đối lập là</w:t>
      </w:r>
      <w:r>
        <w:t xml:space="preserve"> </w:t>
      </w:r>
      <w:r>
        <w:rPr>
          <w:bCs/>
          <w:b/>
        </w:rPr>
        <w:t xml:space="preserve">quốc tế hóa để sinh tồn</w:t>
      </w:r>
      <w:r>
        <w:t xml:space="preserve"> </w:t>
      </w:r>
      <w:r>
        <w:t xml:space="preserve">(internationalization-to-survive): tại các quốc đảo nhỏ Thái Bình Dương, nơi thị trường nội địa quá nhỏ và chi phí hậu cần khổng lồ bào mòn lợi nhuận, doanh nghiệp buộc phải xuất khẩu bất kể điều kiện; trong số 187 doanh nghiệp có xuất khẩu trên toàn mẫu các quốc đảo nhỏ đang phát triển (SIDS), cường độ xuất khẩu cao hơn lại gắn với năng suất thấp hơn, khiến đường cong chữ U ngược sụp đổ hoàn toàn thành một quan hệ âm đơn điệu. Hiện tượng này, mà luận án gọi là</w:t>
      </w:r>
      <w:r>
        <w:t xml:space="preserve"> </w:t>
      </w:r>
      <w:r>
        <w:rPr>
          <w:bCs/>
          <w:b/>
        </w:rPr>
        <w:t xml:space="preserve">gánh nặng quốc tế hóa bắt buộc</w:t>
      </w:r>
      <w:r>
        <w:t xml:space="preserve"> </w:t>
      </w:r>
      <w:r>
        <w:t xml:space="preserve">(Forced Internationalization Penalty, FIP), được đề xuất như một điều kiện biên rõ ràng của mô hình chữ U ngược I-P: khi cả ba tiền đề cấu trúc (thị trường nội địa khả dụng, chi phí thương mại quản lý được, và thể chế hỗ trợ chức năng) đồng thời bị vi phạm, dạng hàm phi tuyến truyền thống chuyển sang quan hệ âm đơn điệu. FIP nối tiếp dòng nghiên cứu nền tảng về SIDS của Briguglio (1995) và mô hình MIRAB của Bertram (2006); đóng góp của luận án là cung cấp ước lượng định lượng đầu tiên (β = −0,404, p =,032) trên dữ liệu WBES kết nối ba ràng buộc SIDS này với dấu của hệ số FSTS trong hồi quy I-P ở cấp doanh nghiệp.</w:t>
      </w:r>
    </w:p>
    <w:p>
      <w:pPr>
        <w:pStyle w:val="BodyText"/>
      </w:pPr>
      <w:r>
        <w:t xml:space="preserve">Sự cấp thiết của vấn đề trước hết bộc lộ ở mức độ không đồng nhất (heterogeneity) cao và dai dẳng trong bằng chứng. Mặc dù đã có hàng trăm nghiên cứu thực nghiệm, các phân tích tổng hợp (meta-analysis) về quan hệ I-P liên tục cho thấy một bức tranh giống nhau: tác động tổng hợp là dương nhưng nhỏ, trong khi mức dị biệt giữa các nghiên cứu lại rất cao (Bausch &amp; Krist, 2007; Kirca et al., 2012; Marano et al., 2016; Wu et al., 2022). Phân tích tổng hợp (meta-analysis) ba tầng của chính luận án trên 238 nghiên cứu xác nhận lại quy luật thực nghiệm này: hệ số tương quan tổng hợp chỉ vào khoảng r = 0,074, trong khi mức dị biệt còn lại sau khi đã tính tới sai số lấy mẫu vẫn ở mức I² = 87,8%. Mức dị biệt cao như vậy không phải là dấu hiệu của sai sót phương pháp. Trái lại, nó cho thấy quan hệ I-P phụ thuộc sâu sắc vào điều kiện bối cảnh. Bản thân sự tồn tại song song của năm dạng hàm quan hệ khác nhau, từ tuyến tính, chữ U ngược, đường cong chữ S, đường cong chữ M, đến gánh nặng bắt buộc, là dữ kiện cần được giải thích chứ không phải mâu thuẫn cần loại bỏ (Contractor, 2012; Hitt et al., 1997; Lu &amp; Beamish, 2004). Khi cùng một mức cường độ xuất khẩu có thể trở thành lợi thế ở bối cảnh này nhưng lại là gánh nặng ở bối cảnh khác, thì câu hỏi nghiên cứu đáng giá không còn là</w:t>
      </w:r>
      <w:r>
        <w:t xml:space="preserve"> </w:t>
      </w:r>
      <w:r>
        <w:t xml:space="preserve">“</w:t>
      </w:r>
      <w:r>
        <w:t xml:space="preserve">quốc tế hóa tốt hay xấu</w:t>
      </w:r>
      <w:r>
        <w:t xml:space="preserve">”</w:t>
      </w:r>
      <w:r>
        <w:t xml:space="preserve"> </w:t>
      </w:r>
      <w:r>
        <w:t xml:space="preserve">mà là</w:t>
      </w:r>
      <w:r>
        <w:t xml:space="preserve"> </w:t>
      </w:r>
      <w:r>
        <w:t xml:space="preserve">“</w:t>
      </w:r>
      <w:r>
        <w:t xml:space="preserve">trong điều kiện nào quốc tế hóa cải thiện hiệu quả, và trong điều kiện nào thì không</w:t>
      </w:r>
      <w:r>
        <w:t xml:space="preserve">”</w:t>
      </w:r>
      <w:r>
        <w:t xml:space="preserve">.</w:t>
      </w:r>
    </w:p>
    <w:p>
      <w:pPr>
        <w:pStyle w:val="BodyText"/>
      </w:pPr>
      <w:r>
        <w:t xml:space="preserve">Ở châu Á, bối cảnh này càng trở nên đặc biệt đáng quan tâm vì khu vực đang chứng kiến tốc độ hội nhập kinh tế và chuyển đổi số không đồng đều giữa các quốc gia. Từ Singapore, một nền kinh tế nhỏ mở, dẫn đầu thế giới về năng lực đổi mới và kết nối toàn cầu, đến Việt Nam, một nền kinh tế chuyển đổi đang đẩy nhanh cải cách thể chế và hội nhập quốc tế, rồi đến Trung Quốc với quy mô thị trường khổng lồ và cấu trúc thể chế đặc thù, thậm chí đến các quốc đảo nhỏ Thái Bình Dương đang phải đối mặt với thách thức sinh tồn kép của biến đổi khí hậu và sự phụ thuộc xuất khẩu bắt buộc, sự đa dạng này tạo ra một phòng thí nghiệm thực địa hiếm có để kiểm định các điều kiện biên của quan hệ I-P (Khanna &amp; Palepu, 2010; Peng, 2003). Sự đồng tồn tại của nhiều chế độ thể chế khác nhau trong cùng một khoảng thời gian và trên cùng một nguồn dữ liệu chuẩn hóa cho phép phân tách hiệu ứng thể chế khỏi hiệu ứng thời kỳ, điều mà các nghiên cứu đơn quốc gia khó lòng thực hiện.</w:t>
      </w:r>
    </w:p>
    <w:p>
      <w:pPr>
        <w:pStyle w:val="BodyText"/>
      </w:pPr>
      <w:r>
        <w:t xml:space="preserve">Thể chế là tầng giải thích không thể bỏ qua khi bàn về kết quả quốc tế hóa. Lý thuyết thể chế (institutional theory) của North (1990) cùng Khanna và Palepu (2010) khẳng định rằng thể chế tạo ra cấu trúc khuyến khích và chi phí giao dịch khác nhau giữa các quốc gia. Ở các thị trường mới nổi, khoảng trống thể chế (institutional voids), tức sự thiếu hụt các thể chế trung gian hỗ trợ giao dịch thị trường, đẩy chi phí quốc tế hóa của doanh nghiệp lên đáng kể (Khanna &amp; Palepu, 2010; Peng, 2003). Sự đa dạng thể chế giữa các quốc gia châu Á trải dài từ những nền kinh tế quản trị ổn định và pháp quyền mạnh như Singapore đến các nền kinh tế đang trong quá trình phát triển thể chế như Campuchia hay các quốc đảo Thái Bình Dương. Dải biến thiên đó đặc biệt phong phú và rất thuận lợi cho việc kiểm định. Luận án tiếp cận dải biến thiên ấy một cách hệ thống thông qua khung phân loại thể chế sáu nhóm được phát triển riêng cho luận án, gọi là Biến thiên chế độ bối cảnh thể chế (Institutional Context Regime Variation, ICRV). Khác với cách hiểu thể chế như một bối cảnh tĩnh, luận án định vị ICRV như một bộ lọc chi phí giao dịch (transaction cost filter): ở chế độ thể chế mạnh, bộ lọc cho giao dịch xuất khẩu đi qua trơn tru nên doanh nghiệp duy trì được lợi ích đến mức cường độ cao; ở chế độ thể chế yếu, bộ lọc tắc nghẽn, biến xuất khẩu thành một gánh nặng trừ khi doanh nghiệp sở hữu những năng lực số và công nghệ nội tại bù đắp cho khoảng trống thể chế.</w:t>
      </w:r>
    </w:p>
    <w:p>
      <w:pPr>
        <w:pStyle w:val="BodyText"/>
      </w:pPr>
      <w:r>
        <w:t xml:space="preserve">Cùng lúc đó, chuyển đổi số đang làm thay đổi căn bản cả cách thức doanh nghiệp quốc tế hóa lẫn cách quốc tế hóa tác động đến hiệu quả hoạt động. Banalieva và Dhanaraj (2019) lập luận rằng lý thuyết nội hóa cần được cập nhật cho nền kinh tế số, bởi dữ liệu số và tương tác qua nền tảng làm giảm sự phụ thuộc vào hiện diện vật lý. Stallkamp và Schotter (2021) chỉ ra rằng các doanh nghiệp nền tảng quốc tế hóa theo một logic khác hẳn với công ty đa quốc gia truyền thống, cho phép cả những doanh nghiệp nhỏ ở thị trường mới nổi vươn ra quốc tế với chi phí gần bằng không. Verhoef et al. (2021) cung cấp khung phân tầng ba cấp, từ số hóa thông tin, số hóa quy trình đến chuyển đổi số toàn diện. Tuy nhiên, phần lớn bằng chứng thực nghiệm hiện có về vai trò của năng lực số trong quan hệ I-P vẫn dồn vào các nền kinh tế phát triển ở Bắc Mỹ và Tây Âu; bằng chứng cho châu Á mới nổi vẫn còn rất mỏng (Bhandari et al., 2023; Yang et al., 2025). Đáng lưu ý hơn, nhiều nghiên cứu gộp chung hai cấu trúc khái niệm vốn khác nhau về bản chất, là chiều sâu năng lực công nghệ nội tại và mức độ chấp nhận số ở bề mặt, thành một chỉ số</w:t>
      </w:r>
      <w:r>
        <w:t xml:space="preserve"> </w:t>
      </w:r>
      <w:r>
        <w:t xml:space="preserve">“</w:t>
      </w:r>
      <w:r>
        <w:t xml:space="preserve">năng lực số</w:t>
      </w:r>
      <w:r>
        <w:t xml:space="preserve">”</w:t>
      </w:r>
      <w:r>
        <w:t xml:space="preserve"> </w:t>
      </w:r>
      <w:r>
        <w:t xml:space="preserve">duy nhất, khiến kết luận mất đi độ chính xác và che khuất những cơ chế tác động rất khác nhau.</w:t>
      </w:r>
    </w:p>
    <w:p>
      <w:pPr>
        <w:pStyle w:val="BodyText"/>
      </w:pPr>
      <w:r>
        <w:t xml:space="preserve">Bối cảnh quốc tế ở thời điểm gần nhất với mốc nộp luận án (tháng 6 năm 2026) củng cố thêm tính cấp thiết của đề tài. Báo cáo</w:t>
      </w:r>
      <w:r>
        <w:t xml:space="preserve"> </w:t>
      </w:r>
      <w:r>
        <w:rPr>
          <w:iCs/>
          <w:i/>
        </w:rPr>
        <w:t xml:space="preserve">OECD MAGIC Database of Industrial Subsidies</w:t>
      </w:r>
      <w:r>
        <w:t xml:space="preserve"> </w:t>
      </w:r>
      <w:r>
        <w:t xml:space="preserve">phát hành tháng 6 năm 2026 (OECD, 2026) cho thấy mức trợ cấp công nghiệp toàn cầu đã đạt mức cao nhất kể từ cuộc khủng hoảng tài chính 2008-09, ở mức 1,3% doanh thu doanh nghiệp năm 2024 (USD 108 tỷ trên 15 ngành công nghiệp trọng yếu). Doanh nghiệp đóng trụ sở tại Trung Quốc nhận trung bình gấp ba đến tám lần mức trợ cấp so với doanh nghiệp tại các nền kinh tế OECD; tỷ lệ này còn cao hơn rõ rệt so với mức hỗ trợ mà doanh nghiệp tại Brazil, Ấn Độ và Indonesia nhận được. Bối cảnh trợ cấp leo thang này, kết hợp với tỷ lệ thông báo trợ cấp WTO sụt giảm từ 23% năm 1995 lên 70% không tuân thủ vào năm 2025, làm tăng thêm tính dị biệt thể chế giữa các nền kinh tế châu Á và Thái Bình Dương mà luận án đặt vào trung tâm khung phân tích ICRV. Quan trọng hơn về mặt phương pháp luận, OECD (2026) tìm thấy rằng trợ cấp công nghiệp làm tăng</w:t>
      </w:r>
      <w:r>
        <w:t xml:space="preserve"> </w:t>
      </w:r>
      <w:r>
        <w:rPr>
          <w:iCs/>
          <w:i/>
        </w:rPr>
        <w:t xml:space="preserve">thị phần toàn cầu</w:t>
      </w:r>
      <w:r>
        <w:t xml:space="preserve"> </w:t>
      </w:r>
      <w:r>
        <w:t xml:space="preserve">(khoảng 22% mức tăng thị phần của các doanh nghiệp tăng trưởng 2005-2023 được giải thích bằng trợ cấp; với doanh nghiệp Trung Quốc tỷ lệ này là gần 60%) nhưng</w:t>
      </w:r>
      <w:r>
        <w:t xml:space="preserve"> </w:t>
      </w:r>
      <w:r>
        <w:rPr>
          <w:iCs/>
          <w:i/>
        </w:rPr>
        <w:t xml:space="preserve">không</w:t>
      </w:r>
      <w:r>
        <w:t xml:space="preserve"> </w:t>
      </w:r>
      <w:r>
        <w:t xml:space="preserve">làm tăng đáng kể</w:t>
      </w:r>
      <w:r>
        <w:t xml:space="preserve"> </w:t>
      </w:r>
      <w:r>
        <w:rPr>
          <w:iCs/>
          <w:i/>
        </w:rPr>
        <w:t xml:space="preserve">năng suất hay lợi nhuận</w:t>
      </w:r>
      <w:r>
        <w:t xml:space="preserve">. Phát hiện này hậu thuẫn quyết định phương pháp luận trọng tâm của luận án về việc sử dụng</w:t>
      </w:r>
      <w:r>
        <w:t xml:space="preserve"> </w:t>
      </w:r>
      <w:r>
        <w:rPr>
          <w:iCs/>
          <w:i/>
        </w:rPr>
        <w:t xml:space="preserve">năng suất lao động</w:t>
      </w:r>
      <w:r>
        <w:t xml:space="preserve"> </w:t>
      </w:r>
      <w:r>
        <w:t xml:space="preserve">(chứ không phải thị phần hay doanh thu) làm biến phụ thuộc chính: chỉ số năng suất ít bị bóp méo bởi trợ cấp xuyên quốc gia hơn các thước đo dựa trên doanh thu.</w:t>
      </w:r>
    </w:p>
    <w:p>
      <w:pPr>
        <w:pStyle w:val="BodyText"/>
      </w:pPr>
      <w:r>
        <w:t xml:space="preserve">Sau cùng, chính nhà quản trị cấp cao mới là tầng chuyển hóa các điều kiện vĩ mô thành quyết định chiến lược và thành kết quả quốc tế hóa cụ thể. Lý thuyết Bậc trên (upper echelons theory) của Hambrick và Mason (1984) khẳng định rằng quyết định chiến lược phản ánh đặc điểm nhận thức, kinh nghiệm và giá trị của nhà quản trị. Kinh nghiệm quốc tế giúp nhà quản trị nhận diện cơ hội và giảm chi phí của gánh nặng người nước ngoài (liability of foreignness); bên cạnh đó, sự đa dạng giới tính ở cấp lãnh đạo có thể tăng cường quản trị rủi ro và mở rộng góc nhìn khi ra quyết định (Hsu et al., 2013; Post &amp; Byron, 2015). Đưa tầng nhà quản trị vào khung giải thích đa tầng là điều cần thiết để phản ánh đầy đủ sự phức tạp của quan hệ I-P trong bối cảnh châu Á.</w:t>
      </w:r>
    </w:p>
    <w:p>
      <w:pPr>
        <w:pStyle w:val="BodyText"/>
      </w:pPr>
      <w:r>
        <w:t xml:space="preserve">Từ những lập luận trên, luận án xác định một vấn đề nghiên cứu có tính cấp thiết kép. Về mặt khoa học, tài liệu I-P vẫn thiếu một khung lý thuyết tích hợp đủ sức giải thích mức dị biệt cao, đặc biệt cho khu vực châu Á và Thái Bình Dương, nơi bằng chứng liên quốc gia quy mô lớn còn rất hạn chế và nơi sự phân biệt giữa năng lực công nghệ với mức độ chấp nhận số chưa được xử lý một cách hệ thống. Về mặt thực tiễn, doanh nghiệp và nhà hoạch định chính sách ở châu Á đang cần một căn cứ rõ ràng hơn về việc quốc tế hóa đến mức nào thì còn có lợi, và điều kiện thể chế cùng năng lực số nào quyết định ngưỡng đó. Luận án được thực hiện nhằm lấp đầy khoảng trống này.</w:t>
      </w:r>
    </w:p>
    <w:p>
      <w:r>
        <w:pict>
          <v:rect style="width:0;height:1.5pt" o:hralign="center" o:hrstd="t" o:hr="t"/>
        </w:pict>
      </w:r>
    </w:p>
    <w:bookmarkEnd w:id="20"/>
    <w:bookmarkStart w:id="21" w:name="mục-tiêu-nghiên-cứu"/>
    <w:p>
      <w:pPr>
        <w:pStyle w:val="Heading2"/>
      </w:pPr>
      <w:r>
        <w:t xml:space="preserve">1.2 Mục tiêu nghiên cứu</w:t>
      </w:r>
    </w:p>
    <w:p>
      <w:pPr>
        <w:pStyle w:val="FirstParagraph"/>
      </w:pPr>
      <w:r>
        <w:t xml:space="preserve">Mục tiêu chung của luận án là xây dựng và kiểm định một khung giải thích đa tầng cho mối quan hệ giữa quốc tế hóa và hiệu quả hoạt động kinh doanh của doanh nghiệp tại các nền kinh tế châu Á và khu vực lân cận, trong đó làm rõ vai trò điều tiết (moderating effect) của thể chế, năng lực số và đặc điểm nhà quản trị đối với mối quan hệ này.</w:t>
      </w:r>
    </w:p>
    <w:p>
      <w:pPr>
        <w:pStyle w:val="BodyText"/>
      </w:pPr>
      <w:r>
        <w:t xml:space="preserve">Từ mục tiêu chung đó, luận án triển khai bốn mục tiêu cụ thể. Mục tiêu thứ nhất là tổng hợp và cập nhật bằng chứng phân tích tổng hợp về quan hệ I-P trong giai đoạn 1982-2026, qua đó xác định tác động tổng hợp, mức độ dị biệt, và những biến điều tiết chính giải thích sự dị biệt giữa các nghiên cứu. Mục tiêu thứ hai là kiểm định cơ chế cụ thể của quan hệ I-P trong các bối cảnh quốc gia khác nhau, gồm Singapore với tư cách nền kinh tế nhỏ mở tiên tiến, Việt Nam với tư cách nền kinh tế chuyển đổi đang mở rộng, và Trung Quốc với tư cách nền kinh tế thu nhập trung bình cao quy mô lớn; so sánh ba bối cảnh này giúp làm rõ cách các cơ chế I-P vận hành khác nhau theo từng quốc gia, đồng thời kiểm định tính ổn định của cấu trúc phi tuyến theo thời gian. Mục tiêu thứ ba là mở rộng phân tích sang phạm vi đa quốc gia gồm 45 nền kinh tế châu Á và Thái Bình Dương, trong đó có nhóm các quốc đảo nhỏ Thái Bình Dương, nhằm kiểm định khả năng khái quát hóa của các phát hiện trên một dải bối cảnh thể chế rộng, kế thừa và mở rộng từ tập 17 nền kinh tế trong Do và Phan (2026a). Mục tiêu thứ tư là phân tích vai trò điều tiết của ba nhóm nhân tố: thể chế (đo bằng các nhóm con ICRV cùng các chỉ số rào cản thể chế), năng lực số (phân biệt rõ Chỉ số năng lực công nghệ, Technological Capability Index, TCI với Chỉ số chấp nhận số, Digital Adoption Index, DAI), và đặc điểm nhà quản trị cấp cao (kinh nghiệm và giới tính).</w:t>
      </w:r>
    </w:p>
    <w:p>
      <w:r>
        <w:pict>
          <v:rect style="width:0;height:1.5pt" o:hralign="center" o:hrstd="t" o:hr="t"/>
        </w:pict>
      </w:r>
    </w:p>
    <w:bookmarkEnd w:id="21"/>
    <w:bookmarkStart w:id="22" w:name="câu-hỏi-nghiên-cứu"/>
    <w:p>
      <w:pPr>
        <w:pStyle w:val="Heading2"/>
      </w:pPr>
      <w:r>
        <w:t xml:space="preserve">1.3 Câu hỏi nghiên cứu</w:t>
      </w:r>
    </w:p>
    <w:p>
      <w:pPr>
        <w:pStyle w:val="FirstParagraph"/>
      </w:pPr>
      <w:r>
        <w:t xml:space="preserve">Câu hỏi nghiên cứu trung tâm của luận án được phát biểu như sau: quốc tế hóa ảnh hưởng đến hiệu quả hoạt động kinh doanh của doanh nghiệp ở châu Á như thế nào, và những điều kiện nào về thể chế, năng lực số và đặc điểm nhà quản trị giải thích mức độ dị biệt cao trong mối quan hệ đó?</w:t>
      </w:r>
    </w:p>
    <w:p>
      <w:pPr>
        <w:pStyle w:val="BodyText"/>
      </w:pPr>
      <w:r>
        <w:t xml:space="preserve">Từ câu hỏi trung tâm này, luận án đặt ra bốn câu hỏi nghiên cứu cụ thể, tương ứng với bốn mục tiêu cụ thể ở trên.</w:t>
      </w:r>
    </w:p>
    <w:p>
      <w:pPr>
        <w:pStyle w:val="BodyText"/>
      </w:pPr>
      <w:r>
        <w:t xml:space="preserve">Câu hỏi nghiên cứu thứ nhất hướng vào bằng chứng tổng hợp: tác động tổng hợp của quốc tế hóa lên hiệu quả hoạt động doanh nghiệp trong các nghiên cứu giai đoạn 1982-2026 là bao nhiêu, mức độ dị biệt đến đâu, và những biến điều tiết nào giải thích sự dị biệt đó một cách có hệ thống?</w:t>
      </w:r>
    </w:p>
    <w:p>
      <w:pPr>
        <w:pStyle w:val="BodyText"/>
      </w:pPr>
      <w:r>
        <w:t xml:space="preserve">Câu hỏi nghiên cứu thứ hai đi vào từng bối cảnh quốc gia gồm Singapore, Việt Nam và Trung Quốc: quan hệ I-P vận hành theo những cơ chế đặc thù nào ở mỗi nền kinh tế, tính phi tuyến biểu hiện ra sao, và cấu trúc phi tuyến đó có ổn định theo thời gian hay không?</w:t>
      </w:r>
    </w:p>
    <w:p>
      <w:pPr>
        <w:pStyle w:val="BodyText"/>
      </w:pPr>
      <w:r>
        <w:t xml:space="preserve">Câu hỏi nghiên cứu thứ ba mở rộng ra phạm vi đa quốc gia gồm 45 nền kinh tế châu Á và Thái Bình Dương: vai trò điều tiết của Chỉ số chấp nhận số và Chỉ số năng lực công nghệ có khái quát hóa được không, và hai cấu trúc khái niệm này có thực sự vận hành theo những cơ chế khác nhau hay không?</w:t>
      </w:r>
    </w:p>
    <w:p>
      <w:pPr>
        <w:pStyle w:val="BodyText"/>
      </w:pPr>
      <w:r>
        <w:t xml:space="preserve">Câu hỏi nghiên cứu thứ tư khép lại bằng tương tác giữa các tầng điều tiết: thể chế, đo bằng nhóm con ICRV, cùng với sự phân biệt giữa năng lực công nghệ và chấp nhận số, và đặc điểm nhà quản trị, điều tiết quan hệ I-P như thế nào, và tương tác đồng thời giữa các tầng đó mang ý nghĩa ra sao đối với việc xác định điều kiện biên của mối quan hệ?</w:t>
      </w:r>
    </w:p>
    <w:p>
      <w:r>
        <w:pict>
          <v:rect style="width:0;height:1.5pt" o:hralign="center" o:hrstd="t" o:hr="t"/>
        </w:pict>
      </w:r>
    </w:p>
    <w:bookmarkEnd w:id="22"/>
    <w:bookmarkStart w:id="26" w:name="đối-tượng-và-phạm-vi-nghiên-cứu"/>
    <w:p>
      <w:pPr>
        <w:pStyle w:val="Heading2"/>
      </w:pPr>
      <w:r>
        <w:t xml:space="preserve">1.4 Đối tượng và phạm vi nghiên cứu</w:t>
      </w:r>
    </w:p>
    <w:bookmarkStart w:id="23" w:name="đối-tượng-nghiên-cứu"/>
    <w:p>
      <w:pPr>
        <w:pStyle w:val="Heading3"/>
      </w:pPr>
      <w:r>
        <w:t xml:space="preserve">1.4.1 Đối tượng nghiên cứu</w:t>
      </w:r>
    </w:p>
    <w:p>
      <w:pPr>
        <w:pStyle w:val="FirstParagraph"/>
      </w:pPr>
      <w:r>
        <w:t xml:space="preserve">Đối tượng nghiên cứu của luận án là mối quan hệ giữa quốc tế hóa và hiệu quả hoạt động kinh doanh của doanh nghiệp, cùng với các nhân tố điều tiết mối quan hệ đó, gồm bối cảnh thể chế, năng lực số và đặc điểm nhà quản trị cấp cao. Đơn vị phân tích là doanh nghiệp ở cấp độ tổ chức, không phải cấp độ ngành hay cấp độ quốc gia. Trong luận án, quốc tế hóa được đo chủ yếu bằng tỷ lệ doanh thu xuất khẩu trên tổng doanh thu (Foreign Sales to Total Sales, FSTS), tức cường độ xuất khẩu, còn hiệu quả hoạt động được đo chủ yếu bằng năng suất lao động, bổ sung bằng tỷ suất lợi nhuận trên doanh thu và tăng trưởng doanh thu trong các kiểm tra độ vững.</w:t>
      </w:r>
    </w:p>
    <w:bookmarkEnd w:id="23"/>
    <w:bookmarkStart w:id="24" w:name="phạm-vi-không-gian"/>
    <w:p>
      <w:pPr>
        <w:pStyle w:val="Heading3"/>
      </w:pPr>
      <w:r>
        <w:t xml:space="preserve">1.4.2 Phạm vi không gian</w:t>
      </w:r>
    </w:p>
    <w:p>
      <w:pPr>
        <w:pStyle w:val="FirstParagraph"/>
      </w:pPr>
      <w:r>
        <w:t xml:space="preserve">Phạm vi không gian chính của nghiên cứu gồm 45 nền kinh tế châu Á và Thái Bình Dương có dữ liệu trong Khảo sát Doanh nghiệp của Ngân hàng Thế giới (World Bank Enterprise Surveys, WBES), được phân loại và tổ chức theo sáu nhóm con trong khung ICRV. Sáu nhóm con đó là: nhóm tiên tiến dẫn dắt bằng đổi mới (Advanced Innovation-Driven), đại diện là Singapore, Hàn Quốc và Đài Loan; nhóm tiên tiến dẫn dắt bằng tài nguyên (Advanced Resource-Driven), đại diện là các nền kinh tế vùng Vịnh; nhóm thu nhập trung bình cao (Upper-middle), đại diện là Trung Quốc và Malaysia; nhóm đang nổi (Emerging), gồm Việt Nam và các nền kinh tế ASEAN đang phát triển; nhóm cận biên (Frontier), gồm các nền kinh tế kém phát triển nhất như Campuchia, Nepal và Bangladesh; và nhóm quốc đảo nhỏ Thái Bình Dương (Pacific and Indian Ocean SIDS), gồm các quốc đảo nhỏ đang phát triển (Small Island Developing States, SIDS) được đưa vào phân tích để kiểm định các điều kiện biên cực đoan của quan hệ I-P. Nhật Bản không nằm trong phạm vi thực nghiệm vì cấu trúc dữ liệu WBES không bao phủ Nhật Bản đầy đủ.</w:t>
      </w:r>
    </w:p>
    <w:p>
      <w:pPr>
        <w:pStyle w:val="BodyText"/>
      </w:pPr>
      <w:r>
        <w:t xml:space="preserve">Cách ghi</w:t>
      </w:r>
      <w:r>
        <w:t xml:space="preserve"> </w:t>
      </w:r>
      <w:r>
        <w:t xml:space="preserve">“</w:t>
      </w:r>
      <w:r>
        <w:t xml:space="preserve">45 nền kinh tế</w:t>
      </w:r>
      <w:r>
        <w:t xml:space="preserve">”</w:t>
      </w:r>
      <w:r>
        <w:t xml:space="preserve"> </w:t>
      </w:r>
      <w:r>
        <w:t xml:space="preserve">phản ánh hai phạm vi mẫu khác nhau chứ không phải mâu thuẫn. Phân tích mô tả bao phủ 47 nền kinh tế với 101.185 doanh nghiệp, còn mô hình hồi quy đa quốc gia bao phủ 45 nền kinh tế đáp ứng đủ yêu cầu dữ liệu cho ước lượng. Tương tự, danh sách nhóm quốc đảo nhỏ Thái Bình Dương gồm nhiều nền kinh tế đảo nhỏ, nhưng số quan sát thực tế đưa vào hồi quy còn tùy thuộc vào dữ liệu sẵn có sau khi lọc giá trị khuyết.</w:t>
      </w:r>
    </w:p>
    <w:bookmarkEnd w:id="24"/>
    <w:bookmarkStart w:id="25" w:name="phạm-vi-thời-gian"/>
    <w:p>
      <w:pPr>
        <w:pStyle w:val="Heading3"/>
      </w:pPr>
      <w:r>
        <w:t xml:space="preserve">1.4.3 Phạm vi thời gian</w:t>
      </w:r>
    </w:p>
    <w:p>
      <w:pPr>
        <w:pStyle w:val="FirstParagraph"/>
      </w:pPr>
      <w:r>
        <w:t xml:space="preserve">Phạm vi thời gian của nghiên cứu có hai mức. Ở giai đoạn phân tích tổng hợp, luận án tổng hợp các nghiên cứu trong khoảng 1982-2026, bao quát toàn bộ chương trình nghiên cứu về quan hệ I-P từ những công trình thực nghiệm đầu tiên đến thời điểm hoàn thành luận án. Ở giai đoạn phân tích thực nghiệm đa quốc gia, luận án sử dụng dữ liệu WBES trong khoảng 2009-2025, gồm 101.185 doanh nghiệp với 108 cặp quốc gia-năm trải qua 14 mốc khảo sát. Dữ liệu WBES đến từ ba thế hệ lược đồ bảng hỏi (schema), gồm thế hệ PICS3 giai đoạn 2009-2013, thế hệ chuẩn hóa giai đoạn 2014-2018, và thế hệ BREADY/BEE giai đoạn 2019-2025, và đã được hòa hợp để bảo đảm tính nhất quán khi đo lường biến qua các đợt khảo sát.</w:t>
      </w:r>
    </w:p>
    <w:p>
      <w:r>
        <w:pict>
          <v:rect style="width:0;height:1.5pt" o:hralign="center" o:hrstd="t" o:hr="t"/>
        </w:pict>
      </w:r>
    </w:p>
    <w:bookmarkEnd w:id="25"/>
    <w:bookmarkEnd w:id="26"/>
    <w:bookmarkStart w:id="27" w:name="khái-quát-phương-pháp-và-dữ-liệu"/>
    <w:p>
      <w:pPr>
        <w:pStyle w:val="Heading2"/>
      </w:pPr>
      <w:r>
        <w:t xml:space="preserve">1.5 Khái quát phương pháp và dữ liệu</w:t>
      </w:r>
    </w:p>
    <w:p>
      <w:pPr>
        <w:pStyle w:val="FirstParagraph"/>
      </w:pPr>
      <w:r>
        <w:t xml:space="preserve">Luận án áp dụng thiết kế kết hợp tổng hợp và thực nghiệm (mixed synthesis-empirical), gắn phân tích tổng hợp với phân tích thực nghiệm đa quốc gia, nhằm trả lời bốn câu hỏi nghiên cứu đã đặt ra. Thiết kế này không đơn thuần chạy hai phương pháp song song. Nó tạo ra một đối thoại hai chiều: phân tích tổng hợp dựng nên bức tranh hệ thống về trạng thái bằng chứng và xác định những biến điều tiết quan trọng trong các nghiên cứu, còn phân tích thực nghiệm kiểm định trực tiếp các giả thuyết nảy sinh từ khung lý thuyết trong bối cảnh châu Á. Sự tương tác đó làm tăng đáng kể sức nặng đóng góp so với việc chỉ dùng một phương pháp duy nhất (Borenstein et al., 2009; Hunter &amp; Schmidt, 2004).</w:t>
      </w:r>
    </w:p>
    <w:p>
      <w:pPr>
        <w:pStyle w:val="BodyText"/>
      </w:pPr>
      <w:r>
        <w:t xml:space="preserve">Về phương pháp cụ thể, giai đoạn phân tích tổng hợp sử dụng mô hình hiệu ứng ngẫu nhiên (random effects) với phép biến đổi Fisher’s z, phân tích nhóm con theo chế độ thể chế, và các kiểm định sai lệch xuất bản (publication bias) gồm kiểm định Egger và kiểm định tương quan hạng Begg-Mazumdar (Begg &amp; Mazumdar, 1994; Egger et al., 1997). Giai đoạn thực nghiệm sử dụng hồi quy bình phương tối thiểu thông thường với sai số chuẩn vững HC1/HC3, mô hình bậc hai và bậc ba để kiểm định phi tuyến, số hạng tương tác hai chiều và ba chiều để kiểm định vai trò điều tiết, cùng hiệu ứng cố định (fixed effects) theo quốc gia và năm. Kiểm định Lind-Mehlum được áp dụng để xác nhận dạng chữ U ngược và định vị điểm uốn (turning point) trong quan hệ phi tuyến (Haans et al., 2016; Lind &amp; Mehlum, 2010), trong khi kiểm định Paternoster được dùng để so sánh điểm uốn giữa các chế độ thể chế và giữa các giai đoạn thời gian.</w:t>
      </w:r>
    </w:p>
    <w:p>
      <w:pPr>
        <w:pStyle w:val="BodyText"/>
      </w:pPr>
      <w:r>
        <w:t xml:space="preserve">Nền tảng dữ liệu thực nghiệm là bộ WBES, bộ dữ liệu doanh nghiệp chuẩn hóa lớn nhất hiện có cho các nền kinh tế đang phát triển và chuyển đổi. Tính so sánh liên quốc gia của WBES là điều kiện cho phép gộp dữ liệu đa quốc gia và phân loại các nền kinh tế theo khung ICRV, qua đó vận hành hóa bối cảnh thể chế thành biến phân tích cụ thể. Trên cùng bộ dữ liệu này, luận án phân biệt rạch ròi hai cấu trúc số: Chỉ số năng lực công nghệ, đo chiều sâu công nghệ được nhập vào tổ chức theo tinh thần năng lực hấp thụ của Cohen và Levinthal (1990) và năng lực công nghệ của Lall (1992); và Chỉ số chấp nhận số, đo mức áp dụng các công cụ số ở bề mặt theo phân tầng của Verhoef et al. (2021). Sự phân biệt này, được kiểm tra theo bốn tiêu chí của Coltman et al. (2008), là một quyết định phương pháp cốt lõi của luận án.</w:t>
      </w:r>
    </w:p>
    <w:p>
      <w:pPr>
        <w:pStyle w:val="BodyText"/>
      </w:pPr>
      <w:r>
        <w:t xml:space="preserve">Cần nói rõ vị trí của Chương 1 trong toàn bộ chương trình nghiên cứu. Luận án được tổ chức thành một chuỗi phân tích thành phần gắn kết với nhau, mỗi phân tích kiểm định một phần của khung giải thích đa tầng trên một bối cảnh hoặc một phạm vi cụ thể, từ phân tích tổng hợp định lượng, các phân tích đơn quốc gia cho Việt Nam, Trung Quốc và Singapore, đến phân tích đa quốc gia trên toàn dải nền kinh tế châu Á và Thái Bình Dương và phân tích điều kiện biên tại nhóm quốc đảo nhỏ Thái Bình Dương. Toàn bộ kết quả được tổng hợp lại trong các chương sau. Chương 1 chỉ khái quát phương pháp và dữ liệu ở mức đủ để định vị nghiên cứu; chi tiết về thiết kế, đo lường biến, đặc tả mô hình và chiến lược kiểm định độ vững được trình bày đầy đủ ở Chương 3.</w:t>
      </w:r>
    </w:p>
    <w:p>
      <w:r>
        <w:pict>
          <v:rect style="width:0;height:1.5pt" o:hralign="center" o:hrstd="t" o:hr="t"/>
        </w:pict>
      </w:r>
    </w:p>
    <w:bookmarkEnd w:id="27"/>
    <w:bookmarkStart w:id="30" w:name="những-đóng-góp-mới-của-luận-án"/>
    <w:p>
      <w:pPr>
        <w:pStyle w:val="Heading2"/>
      </w:pPr>
      <w:r>
        <w:t xml:space="preserve">1.6 Những đóng góp mới của luận án</w:t>
      </w:r>
    </w:p>
    <w:bookmarkStart w:id="28" w:name="đóng-góp-lý-thuyết"/>
    <w:p>
      <w:pPr>
        <w:pStyle w:val="Heading3"/>
      </w:pPr>
      <w:r>
        <w:t xml:space="preserve">1.6.1 Đóng góp lý thuyết</w:t>
      </w:r>
    </w:p>
    <w:p>
      <w:pPr>
        <w:pStyle w:val="FirstParagraph"/>
      </w:pPr>
      <w:r>
        <w:t xml:space="preserve">Về mặt lý thuyết, luận án đóng góp vào tài liệu nghiên cứu kinh doanh quốc tế theo bốn hướng gắn bó với nhau. Đóng góp thứ nhất là phát triển một</w:t>
      </w:r>
      <w:r>
        <w:t xml:space="preserve"> </w:t>
      </w:r>
      <w:r>
        <w:rPr>
          <w:bCs/>
          <w:b/>
        </w:rPr>
        <w:t xml:space="preserve">khung tích hợp phân tầng ba lớp CIMT–ICRV–CDCM</w:t>
      </w:r>
      <w:r>
        <w:t xml:space="preserve"> </w:t>
      </w:r>
      <w:r>
        <w:t xml:space="preserve">(Chương 2 §2.5.1–2.5.4), trong đó</w:t>
      </w:r>
      <w:r>
        <w:t xml:space="preserve"> </w:t>
      </w:r>
      <w:r>
        <w:rPr>
          <w:bCs/>
          <w:b/>
        </w:rPr>
        <w:t xml:space="preserve">CIMT (Capability–Institution Mismatch Theory)</w:t>
      </w:r>
      <w:r>
        <w:t xml:space="preserve"> </w:t>
      </w:r>
      <w:r>
        <w:t xml:space="preserve">là cơ chế lý thuyết bao trùm tầm trung (Merton, 1968; Whetten, 1989; Corley &amp; Gioia, 2011) tích hợp ba kênh đã được khẳng định trong văn liệu IB (rent protection, liability-of-foreignness attenuation, institutional-void amplification);</w:t>
      </w:r>
      <w:r>
        <w:t xml:space="preserve"> </w:t>
      </w:r>
      <w:r>
        <w:rPr>
          <w:bCs/>
          <w:b/>
        </w:rPr>
        <w:t xml:space="preserve">ICRV (Institutional Context Regime Variation)</w:t>
      </w:r>
      <w:r>
        <w:t xml:space="preserve"> </w:t>
      </w:r>
      <w:r>
        <w:t xml:space="preserve">là taxonomy phân loại bối cảnh thể chế thành sáu chế độ con; và</w:t>
      </w:r>
      <w:r>
        <w:t xml:space="preserve"> </w:t>
      </w:r>
      <w:r>
        <w:rPr>
          <w:bCs/>
          <w:b/>
        </w:rPr>
        <w:t xml:space="preserve">CDCM (Context-Contingent Digital Capability Model)</w:t>
      </w:r>
      <w:r>
        <w:t xml:space="preserve"> </w:t>
      </w:r>
      <w:r>
        <w:t xml:space="preserve">là biểu hiện thực nghiệm cấp doanh nghiệp dưới điều kiện số hóa. Khung này tích hợp bốn lý thuyết kinh điển (Uppsala, RBV, lý thuyết thể chế, lý thuyết Bậc trên) cùng lớp mở rộng năng lực số vào một kiến trúc thống nhất nội tại, trong đó mỗi lớp giải thích một dạng dị biệt khác nhau của quan hệ I-P, không phải là sự ghép nối cơ học các lý thuyết. Đóng góp thứ hai là tách bạch rõ ràng năng lực công nghệ với chấp nhận số, coi đây là hai cấu trúc khái niệm độc lập dựa trên những nền tảng lý thuyết khác nhau (Bharadwaj et al., 2013; Coltman et al., 2008; Verhoef et al., 2021). Sự tách bạch này lấp một thiếu hụt khái niệm quan trọng trong các nghiên cứu về số hóa và quốc tế hóa, vốn thường gộp chung hai cấu trúc khác nhau về bản chất. Đóng góp thứ ba là tái định vị mô hình Uppsala trong kỷ nguyên trí tuệ nhân tạo, bằng cách mở rộng cơ chế học hỏi để bao hàm cả học hỏi tăng cường bằng dữ liệu số, phù hợp với xu hướng quốc tế hóa được hỗ trợ bằng công nghệ số (Banalieva &amp; Dhanaraj, 2019; Yang et al., 2025).</w:t>
      </w:r>
    </w:p>
    <w:p>
      <w:pPr>
        <w:pStyle w:val="BodyText"/>
      </w:pPr>
      <w:r>
        <w:t xml:space="preserve">Đóng góp lý thuyết thứ tư là chính thức kết nối ba ràng buộc cấu trúc của các quốc đảo nhỏ Thái Bình Dương (thị trường nội địa quá nhỏ, chi phí thương mại cực cao, hỗ trợ thể chế thiếu hụt) với dấu của hệ số FSTS trong hồi quy I-P ở cấp doanh nghiệp, đặt tên cho hiện tượng này là gánh nặng quốc tế hóa bắt buộc (forced internationalization penalty, FIP). Khái niệm không phải mới hoàn toàn: cấu trúc kinh tế ba ràng buộc của SIDS đã được phân tích trong các nghiên cứu nền tảng (Briguglio, 1995; mô hình MIRAB của Bertram, 2006). Đóng góp tăng thêm của luận án là (i) cung cấp ước lượng định lượng đầu tiên (β = −0,404, p =,032) trên dữ liệu WBES về dấu âm trong hồi quy I-P, (ii) đặt FIP làm điều kiện biên rõ ràng cho mô hình chữ U ngược (quan hệ chuyển sang âm đơn điệu không có điểm uốn khi cả ba ràng buộc đồng thời bị vi phạm), và (iii) qua đó cho thấy chữ U ngược không phải quy luật phổ quát mà là quan hệ có điều kiện, mở hướng nghiên cứu về điều kiện biên của các lý thuyết quốc tế hóa.</w:t>
      </w:r>
    </w:p>
    <w:p>
      <w:pPr>
        <w:pStyle w:val="BodyText"/>
      </w:pPr>
      <w:r>
        <w:t xml:space="preserve">Bên cạnh đóng góp lý thuyết, luận án còn đóng góp về phương pháp theo hai hướng. Hướng thứ nhất là thiết kế kết hợp tổng hợp và thực nghiệm, cho phép đối chiếu bằng chứng tổng hợp từ các nghiên cứu toàn cầu với bằng chứng thực nghiệm từ bối cảnh châu Á. Hướng thứ hai là phát triển và áp dụng khung phân loại thể chế ICRV cho 47 nền kinh tế, qua đó cung cấp một công cụ phân loại mới có thể hữu ích cho nhiều nghiên cứu tương lai về vai trò điều tiết của thể chế.</w:t>
      </w:r>
    </w:p>
    <w:bookmarkEnd w:id="28"/>
    <w:bookmarkStart w:id="29" w:name="đóng-góp-thực-tiễn"/>
    <w:p>
      <w:pPr>
        <w:pStyle w:val="Heading3"/>
      </w:pPr>
      <w:r>
        <w:t xml:space="preserve">1.6.2 Đóng góp thực tiễn</w:t>
      </w:r>
    </w:p>
    <w:p>
      <w:pPr>
        <w:pStyle w:val="FirstParagraph"/>
      </w:pPr>
      <w:r>
        <w:t xml:space="preserve">Về mặt thực tiễn, luận án cung cấp căn cứ có hệ thống cho hai nhóm đối tượng sử dụng chính. Với doanh nghiệp, kết quả phân tích cho thấy tồn tại một ngưỡng tối ưu trong quan hệ giữa mức độ xuất khẩu và hiệu quả hoạt động, và ngưỡng này thay đổi theo bối cảnh thể chế cũng như năng lực số của từng doanh nghiệp. Nhà quản trị cần nhận ra ngưỡng đó và đầu tư có chiến lược vào năng lực công nghệ, thay vì chỉ chạy theo việc chấp nhận số ở bề mặt. Với nhà hoạch định chính sách, bằng chứng từ luận án gợi ý rằng cải cách thể chế và hỗ trợ chuyển đổi số có thể bổ trợ cho nhau theo hướng tích cực: năng lực số có thể làm dịu tác động tiêu cực của rào cản thể chế đối với doanh nghiệp quốc tế hóa, đặc biệt ở các nền kinh tế còn nhiều khoảng trống thể chế (Do &amp; Phan, 2026a).</w:t>
      </w:r>
    </w:p>
    <w:p>
      <w:pPr>
        <w:pStyle w:val="BodyText"/>
      </w:pPr>
      <w:r>
        <w:t xml:space="preserve">Tính mới của luận án còn thể hiện ở quy mô và phạm vi chưa từng có trong các nghiên cứu cùng chủ đề tại châu Á. Luận án dựng nên tập dữ liệu lớn cho nghiên cứu đa quốc gia về quan hệ I-P tại khu vực, với 101.185 doanh nghiệp từ 45 nền kinh tế, mở rộng đáng kể so với tập 17 nền kinh tế trong Do và Phan (2026a). Việc kiểm định tính ổn định theo thời gian của điểm uốn tại Trung Quốc qua hơn một thập kỷ chuyển đổi số, cùng với việc lần đầu đưa các quốc đảo nhỏ Thái Bình Dương vào một phân tích thực nghiệm về quan hệ I-P trên dữ liệu WBES, là những điểm khác biệt nổi bật so với các luận án và công trình tham chiếu trước đây vốn thường giới hạn ở một quốc gia hoặc một tiểu vùng với một phương pháp duy nhất (Bhandari et al., 2023; Cuervo-Cazurra et al., 2018; Marano et al., 2016; Wu et al., 2022).</w:t>
      </w:r>
    </w:p>
    <w:p>
      <w:r>
        <w:pict>
          <v:rect style="width:0;height:1.5pt" o:hralign="center" o:hrstd="t" o:hr="t"/>
        </w:pict>
      </w:r>
    </w:p>
    <w:bookmarkEnd w:id="29"/>
    <w:bookmarkEnd w:id="30"/>
    <w:bookmarkStart w:id="31" w:name="kết-cấu-của-luận-án"/>
    <w:p>
      <w:pPr>
        <w:pStyle w:val="Heading2"/>
      </w:pPr>
      <w:r>
        <w:t xml:space="preserve">1.7 Kết cấu của luận án</w:t>
      </w:r>
    </w:p>
    <w:p>
      <w:pPr>
        <w:pStyle w:val="FirstParagraph"/>
      </w:pPr>
      <w:r>
        <w:t xml:space="preserve">Luận án được tổ chức thành năm chương theo chuẩn luận án tiến sĩ tại Trường Kinh tế, Đại học Cần Thơ.</w:t>
      </w:r>
    </w:p>
    <w:p>
      <w:pPr>
        <w:pStyle w:val="BodyText"/>
      </w:pPr>
      <w:r>
        <w:t xml:space="preserve">Chương 1, Giới thiệu, đặt vấn đề nghiên cứu, xác định tính cấp thiết và bối cảnh, trình bày mục tiêu, câu hỏi nghiên cứu, đối tượng và phạm vi, khái quát phương pháp và dữ liệu, những đóng góp mới, và kết cấu của luận án.</w:t>
      </w:r>
    </w:p>
    <w:p>
      <w:pPr>
        <w:pStyle w:val="BodyText"/>
      </w:pPr>
      <w:r>
        <w:t xml:space="preserve">Chương 2, Tổng quan tài liệu, hệ thống hóa các khái niệm cốt lõi và lý thuyết nền, xây dựng khung phân tích ICRV, lược khảo bằng chứng thực nghiệm đã có, chỉ ra các khoảng trống nghiên cứu, rồi dựng nên khung khái niệm tích hợp đa tầng và phát triển hệ giả thuyết H1-H6 cùng giả thuyết điều kiện biên H1b về gánh nặng quốc tế hóa bắt buộc.</w:t>
      </w:r>
    </w:p>
    <w:p>
      <w:pPr>
        <w:pStyle w:val="BodyText"/>
      </w:pPr>
      <w:r>
        <w:t xml:space="preserve">Chương 3, Phương pháp nghiên cứu, trình bày chi tiết thiết kế nghiên cứu, nguồn dữ liệu WBES, cách đo lường các biến gồm FSTS, năng suất lao động, TCI và DAI, đặc tả các mô hình phân tích từ tổng hợp đến thực nghiệm, và chiến lược kiểm định độ vững.</w:t>
      </w:r>
    </w:p>
    <w:p>
      <w:pPr>
        <w:pStyle w:val="BodyText"/>
      </w:pPr>
      <w:r>
        <w:t xml:space="preserve">Chương 4, Kết quả nghiên cứu, trình bày kết quả ở ba cấp độ gắn kết với nhau: phân tích tổng hợp cập nhật cho giai đoạn 1982-2026, phân tích theo từng bối cảnh quốc gia gồm Singapore, Việt Nam và Trung Quốc, và phân tích đa quốc gia tổng hợp trên toàn bộ 45 nền kinh tế, trong đó có điều kiện biên tại nhóm quốc đảo nhỏ Thái Bình Dương.</w:t>
      </w:r>
    </w:p>
    <w:p>
      <w:pPr>
        <w:pStyle w:val="BodyText"/>
      </w:pPr>
      <w:r>
        <w:t xml:space="preserve">Chương 5, Thảo luận và kết luận, đưa các phát hiện từ Chương 4 trở lại khung lý thuyết ở Chương 2, bàn về đóng góp khoa học, hàm ý quản trị và chính sách, hạn chế của nghiên cứu và hướng nghiên cứu tiếp theo.</w:t>
      </w:r>
    </w:p>
    <w:p>
      <w:r>
        <w:pict>
          <v:rect style="width:0;height:1.5pt" o:hralign="center" o:hrstd="t" o:hr="t"/>
        </w:pict>
      </w:r>
    </w:p>
    <w:p>
      <w:pPr>
        <w:pStyle w:val="FirstParagraph"/>
      </w:pPr>
      <w:r>
        <w:rPr>
          <w:iCs/>
          <w:i/>
        </w:rPr>
        <w:t xml:space="preserve">Chú thích về ký hiệu và thuật ngữ: trong toàn bộ luận án, quốc tế hóa được đo chủ yếu bằng tỷ lệ doanh thu xuất khẩu trên tổng doanh thu (FSTS), tức cường độ xuất khẩu; hiệu quả hoạt động được đo chủ yếu bằng năng suất lao động, bổ sung bằng tỷ suất lợi nhuận trên doanh thu và tăng trưởng doanh thu trong các kiểm tra độ vững; TCI là Chỉ số năng lực công nghệ (Technological Capability Index); DAI là Chỉ số chấp nhận số (Digital Adoption Index), được hiểu như biến đại diện cho mức chấp nhận số nền tảng; ICRV là Biến thiên chế độ bối cảnh thể chế (Institutional Context Regime Variation), khung phân loại thể chế sáu nhóm được phát triển cho luận án này; WBES là Khảo sát Doanh nghiệp của Ngân hàng Thế giới (World Bank Enterprise Surveys).</w:t>
      </w:r>
    </w:p>
    <w:bookmarkEnd w:id="31"/>
    <w:bookmarkEnd w:id="32"/>
    <w:sectPr>
      <w:pgSz w:h="16838" w:w="11906"/>
      <w:pgMar w:bottom="1134" w:left="1701" w:right="1134" w:top="1134"/>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pPr>
      <w:spacing w:line="288" w:lineRule="auto"/>
      <w:jc w:val="both"/>
    </w:pPr>
    <w:rPr>
      <w:rFonts w:ascii="Times New Roman" w:eastAsia="Times New Roman" w:hAnsi="Times New Roman"/>
      <w:color w:val="000000"/>
      <w:sz w:val="26"/>
    </w:rPr>
  </w:style>
  <w:style w:styleId="BodyText" w:type="paragraph">
    <w:name w:val="Body Text"/>
    <w:basedOn w:val="Normal"/>
    <w:link w:val="BodyTextChar"/>
    <w:pPr>
      <w:spacing w:after="180" w:before="180" w:line="288" w:lineRule="auto"/>
      <w:jc w:val="both"/>
    </w:pPr>
    <w:qFormat/>
    <w:rPr>
      <w:rFonts w:ascii="Times New Roman" w:eastAsia="Times New Roman" w:hAnsi="Times New Roman"/>
      <w:color w:val="000000"/>
      <w:sz w:val="26"/>
    </w:rPr>
  </w:style>
  <w:style w:customStyle="1" w:styleId="FirstParagraph" w:type="paragraph">
    <w:name w:val="First Paragraph"/>
    <w:basedOn w:val="BodyText"/>
    <w:next w:val="BodyText"/>
    <w:qFormat/>
    <w:pPr>
      <w:spacing w:line="288" w:lineRule="auto"/>
      <w:jc w:val="both"/>
    </w:pPr>
    <w:rPr>
      <w:rFonts w:ascii="Times New Roman" w:eastAsia="Times New Roman" w:hAnsi="Times New Roman"/>
      <w:color w:val="000000"/>
      <w:sz w:val="26"/>
    </w:rPr>
  </w:style>
  <w:style w:customStyle="1" w:styleId="Compact" w:type="paragraph">
    <w:name w:val="Compact"/>
    <w:basedOn w:val="BodyText"/>
    <w:qFormat/>
    <w:pPr>
      <w:spacing w:after="36" w:before="36" w:line="288" w:lineRule="auto"/>
      <w:jc w:val="both"/>
    </w:pPr>
    <w:rPr>
      <w:rFonts w:ascii="Times New Roman" w:eastAsia="Times New Roman" w:hAnsi="Times New Roman"/>
      <w:color w:val="000000"/>
      <w:sz w:val="26"/>
    </w:rPr>
  </w:style>
  <w:style w:styleId="Title" w:type="paragraph">
    <w:name w:val="Title"/>
    <w:basedOn w:val="Normal"/>
    <w:next w:val="BodyText"/>
    <w:qFormat/>
    <w:pPr>
      <w:keepNext/>
      <w:keepLines/>
      <w:spacing w:after="240" w:before="480" w:line="288" w:lineRule="auto"/>
      <w:jc w:val="both"/>
    </w:pPr>
    <w:rPr>
      <w:rFonts w:ascii="Times New Roman" w:asciiTheme="majorHAnsi" w:cstheme="majorBidi" w:eastAsia="Times New Roman" w:eastAsiaTheme="majorEastAsia" w:hAnsi="Times New Roman" w:hAnsiTheme="majorHAnsi"/>
      <w:b/>
      <w:bCs/>
      <w:color w:val="000000"/>
      <w:sz w:val="26"/>
      <w:szCs w:val="36"/>
    </w:rPr>
  </w:style>
  <w:style w:styleId="Subtitle" w:type="paragraph">
    <w:name w:val="Subtitle"/>
    <w:basedOn w:val="Title"/>
    <w:next w:val="BodyText"/>
    <w:qFormat/>
    <w:pPr>
      <w:keepNext/>
      <w:keepLines/>
      <w:spacing w:after="240" w:before="240" w:line="288" w:lineRule="auto"/>
      <w:jc w:val="both"/>
    </w:pPr>
    <w:rPr>
      <w:rFonts w:ascii="Times New Roman" w:eastAsia="Times New Roman" w:hAnsi="Times New Roman"/>
      <w:color w:val="000000"/>
      <w:sz w:val="26"/>
      <w:szCs w:val="30"/>
    </w:rPr>
  </w:style>
  <w:style w:customStyle="1" w:styleId="Author" w:type="paragraph">
    <w:name w:val="Author"/>
    <w:next w:val="BodyText"/>
    <w:qFormat/>
    <w:pPr>
      <w:keepNext/>
      <w:keepLines/>
      <w:spacing w:line="288" w:lineRule="auto"/>
      <w:jc w:val="both"/>
    </w:pPr>
    <w:rPr>
      <w:rFonts w:ascii="Times New Roman" w:eastAsia="Times New Roman" w:hAnsi="Times New Roman"/>
      <w:color w:val="000000"/>
      <w:sz w:val="26"/>
    </w:rPr>
  </w:style>
  <w:style w:styleId="Date" w:type="paragraph">
    <w:name w:val="Date"/>
    <w:next w:val="BodyText"/>
    <w:qFormat/>
    <w:pPr>
      <w:keepNext/>
      <w:keepLines/>
      <w:spacing w:line="288" w:lineRule="auto"/>
      <w:jc w:val="both"/>
    </w:pPr>
    <w:rPr>
      <w:rFonts w:ascii="Times New Roman" w:eastAsia="Times New Roman" w:hAnsi="Times New Roman"/>
      <w:color w:val="000000"/>
      <w:sz w:val="26"/>
    </w:rPr>
  </w:style>
  <w:style w:customStyle="1" w:styleId="AbstractTitle" w:type="paragraph">
    <w:name w:val="Abstract Title"/>
    <w:basedOn w:val="Normal"/>
    <w:next w:val="Abstract"/>
    <w:qFormat/>
    <w:pPr>
      <w:keepNext/>
      <w:keepLines/>
      <w:jc w:val="both"/>
      <w:spacing w:after="0" w:before="300" w:line="288" w:lineRule="auto"/>
    </w:pPr>
    <w:rPr>
      <w:color w:val="000000"/>
      <w:sz w:val="26"/>
      <w:szCs w:val="20"/>
      <w:rFonts w:ascii="Times New Roman" w:eastAsia="Times New Roman" w:hAnsi="Times New Roman"/>
      <w:b/>
    </w:rPr>
  </w:style>
  <w:style w:customStyle="1" w:styleId="Abstract" w:type="paragraph">
    <w:name w:val="Abstract"/>
    <w:basedOn w:val="Normal"/>
    <w:next w:val="BodyText"/>
    <w:qFormat/>
    <w:pPr>
      <w:keepNext/>
      <w:keepLines/>
      <w:spacing w:after="300" w:before="100" w:line="288" w:lineRule="auto"/>
      <w:jc w:val="both"/>
    </w:pPr>
    <w:rPr>
      <w:rFonts w:ascii="Times New Roman" w:eastAsia="Times New Roman" w:hAnsi="Times New Roman"/>
      <w:color w:val="000000"/>
      <w:sz w:val="26"/>
      <w:szCs w:val="20"/>
    </w:rPr>
  </w:style>
  <w:style w:styleId="Bibliography" w:type="paragraph">
    <w:name w:val="Bibliography"/>
    <w:basedOn w:val="Normal"/>
    <w:next w:val="Bibliography"/>
    <w:qFormat/>
    <w:pPr>
      <w:spacing w:line="288" w:lineRule="auto"/>
      <w:jc w:val="both"/>
    </w:pPr>
    <w:rPr>
      <w:rFonts w:ascii="Times New Roman" w:eastAsia="Times New Roman" w:hAnsi="Times New Roman"/>
      <w:color w:val="000000"/>
      <w:sz w:val="26"/>
    </w:rPr>
  </w:style>
  <w:style w:styleId="Heading1" w:type="paragraph">
    <w:name w:val="Heading 1"/>
    <w:basedOn w:val="Normal"/>
    <w:next w:val="BodyText"/>
    <w:uiPriority w:val="9"/>
    <w:qFormat/>
    <w:pPr>
      <w:keepNext/>
      <w:keepLines/>
      <w:spacing w:after="0" w:before="480" w:line="288" w:lineRule="auto"/>
      <w:jc w:val="both"/>
      <w:outlineLvl w:val="0"/>
    </w:pPr>
    <w:rPr>
      <w:rFonts w:ascii="Times New Roman" w:asciiTheme="majorHAnsi" w:cstheme="majorBidi" w:eastAsia="Times New Roman" w:eastAsiaTheme="majorEastAsia" w:hAnsi="Times New Roman" w:hAnsiTheme="majorHAnsi"/>
      <w:b/>
      <w:bCs/>
      <w:color w:val="000000"/>
      <w:sz w:val="26"/>
      <w:szCs w:val="32"/>
    </w:rPr>
  </w:style>
  <w:style w:styleId="Heading2" w:type="paragraph">
    <w:name w:val="Heading 2"/>
    <w:basedOn w:val="Normal"/>
    <w:next w:val="BodyText"/>
    <w:uiPriority w:val="9"/>
    <w:unhideWhenUsed/>
    <w:qFormat/>
    <w:pPr>
      <w:keepNext/>
      <w:keepLines/>
      <w:spacing w:after="0" w:before="200" w:line="288" w:lineRule="auto"/>
      <w:jc w:val="both"/>
      <w:outlineLvl w:val="1"/>
    </w:pPr>
    <w:rPr>
      <w:rFonts w:ascii="Times New Roman" w:asciiTheme="majorHAnsi" w:cstheme="majorBidi" w:eastAsia="Times New Roman" w:eastAsiaTheme="majorEastAsia" w:hAnsi="Times New Roman" w:hAnsiTheme="majorHAnsi"/>
      <w:b/>
      <w:bCs/>
      <w:color w:val="000000"/>
      <w:sz w:val="26"/>
      <w:szCs w:val="28"/>
    </w:rPr>
  </w:style>
  <w:style w:styleId="Heading3" w:type="paragraph">
    <w:name w:val="Heading 3"/>
    <w:basedOn w:val="Normal"/>
    <w:next w:val="BodyText"/>
    <w:uiPriority w:val="9"/>
    <w:unhideWhenUsed/>
    <w:qFormat/>
    <w:pPr>
      <w:keepNext/>
      <w:keepLines/>
      <w:spacing w:after="0" w:before="200" w:line="288" w:lineRule="auto"/>
      <w:jc w:val="both"/>
      <w:outlineLvl w:val="2"/>
    </w:pPr>
    <w:rPr>
      <w:rFonts w:ascii="Times New Roman" w:asciiTheme="majorHAnsi" w:cstheme="majorBidi" w:eastAsia="Times New Roman" w:eastAsiaTheme="majorEastAsia" w:hAnsi="Times New Roman" w:hAnsiTheme="majorHAnsi"/>
      <w:b/>
      <w:bCs/>
      <w:color w:val="000000"/>
      <w:sz w:val="26"/>
      <w:szCs w:val="24"/>
    </w:rPr>
  </w:style>
  <w:style w:styleId="Heading4" w:type="paragraph">
    <w:name w:val="Heading 4"/>
    <w:basedOn w:val="Normal"/>
    <w:next w:val="BodyText"/>
    <w:uiPriority w:val="9"/>
    <w:unhideWhenUsed/>
    <w:qFormat/>
    <w:pPr>
      <w:keepNext/>
      <w:keepLines/>
      <w:spacing w:after="0" w:before="200" w:line="288" w:lineRule="auto"/>
      <w:jc w:val="both"/>
      <w:outlineLvl w:val="3"/>
    </w:pPr>
    <w:rPr>
      <w:rFonts w:ascii="Times New Roman" w:asciiTheme="majorHAnsi" w:cstheme="majorBidi" w:eastAsia="Times New Roman" w:eastAsiaTheme="majorEastAsia" w:hAnsi="Times New Roman" w:hAnsiTheme="majorHAnsi"/>
      <w:i/>
      <w:bCs/>
      <w:color w:val="000000"/>
      <w:sz w:val="26"/>
      <w:szCs w:val="24"/>
    </w:rPr>
  </w:style>
  <w:style w:styleId="Heading5" w:type="paragraph">
    <w:name w:val="Heading 5"/>
    <w:basedOn w:val="Normal"/>
    <w:next w:val="BodyText"/>
    <w:uiPriority w:val="9"/>
    <w:unhideWhenUsed/>
    <w:qFormat/>
    <w:pPr>
      <w:keepNext/>
      <w:keepLines/>
      <w:spacing w:after="0" w:before="200" w:line="288" w:lineRule="auto"/>
      <w:jc w:val="both"/>
      <w:outlineLvl w:val="4"/>
    </w:pPr>
    <w:rPr>
      <w:rFonts w:ascii="Times New Roman" w:asciiTheme="majorHAnsi" w:cstheme="majorBidi" w:eastAsia="Times New Roman" w:eastAsiaTheme="majorEastAsia" w:hAnsi="Times New Roman" w:hAnsiTheme="majorHAnsi"/>
      <w:iCs/>
      <w:color w:val="000000"/>
      <w:sz w:val="26"/>
      <w:szCs w:val="24"/>
    </w:rPr>
  </w:style>
  <w:style w:styleId="Heading6" w:type="paragraph">
    <w:name w:val="Heading 6"/>
    <w:basedOn w:val="Normal"/>
    <w:next w:val="BodyText"/>
    <w:uiPriority w:val="9"/>
    <w:unhideWhenUsed/>
    <w:qFormat/>
    <w:pPr>
      <w:keepNext/>
      <w:keepLines/>
      <w:spacing w:after="0" w:before="200" w:line="288" w:lineRule="auto"/>
      <w:jc w:val="both"/>
      <w:outlineLvl w:val="5"/>
    </w:pPr>
    <w:rPr>
      <w:rFonts w:ascii="Times New Roman" w:asciiTheme="majorHAnsi" w:cstheme="majorBidi" w:eastAsia="Times New Roman" w:eastAsiaTheme="majorEastAsia" w:hAnsi="Times New Roman" w:hAnsiTheme="majorHAnsi"/>
      <w:color w:val="000000"/>
      <w:sz w:val="26"/>
      <w:szCs w:val="24"/>
    </w:rPr>
  </w:style>
  <w:style w:styleId="Heading7" w:type="paragraph">
    <w:name w:val="Heading 7"/>
    <w:basedOn w:val="Normal"/>
    <w:next w:val="BodyText"/>
    <w:uiPriority w:val="9"/>
    <w:unhideWhenUsed/>
    <w:qFormat/>
    <w:pPr>
      <w:keepNext/>
      <w:keepLines/>
      <w:spacing w:after="0" w:before="200" w:line="288" w:lineRule="auto"/>
      <w:jc w:val="both"/>
      <w:outlineLvl w:val="6"/>
    </w:pPr>
    <w:rPr>
      <w:rFonts w:ascii="Times New Roman" w:asciiTheme="majorHAnsi" w:cstheme="majorBidi" w:eastAsia="Times New Roman" w:eastAsiaTheme="majorEastAsia" w:hAnsi="Times New Roman" w:hAnsiTheme="majorHAnsi"/>
      <w:color w:val="000000"/>
      <w:sz w:val="26"/>
      <w:szCs w:val="24"/>
    </w:rPr>
  </w:style>
  <w:style w:styleId="Heading8" w:type="paragraph">
    <w:name w:val="Heading 8"/>
    <w:basedOn w:val="Normal"/>
    <w:next w:val="BodyText"/>
    <w:uiPriority w:val="9"/>
    <w:unhideWhenUsed/>
    <w:qFormat/>
    <w:pPr>
      <w:keepNext/>
      <w:keepLines/>
      <w:spacing w:after="0" w:before="200" w:line="288" w:lineRule="auto"/>
      <w:jc w:val="both"/>
      <w:outlineLvl w:val="7"/>
    </w:pPr>
    <w:rPr>
      <w:rFonts w:ascii="Times New Roman" w:asciiTheme="majorHAnsi" w:cstheme="majorBidi" w:eastAsia="Times New Roman" w:eastAsiaTheme="majorEastAsia" w:hAnsi="Times New Roman" w:hAnsiTheme="majorHAnsi"/>
      <w:color w:val="000000"/>
      <w:sz w:val="26"/>
      <w:szCs w:val="24"/>
    </w:rPr>
  </w:style>
  <w:style w:styleId="Heading9" w:type="paragraph">
    <w:name w:val="Heading 9"/>
    <w:basedOn w:val="Normal"/>
    <w:next w:val="BodyText"/>
    <w:uiPriority w:val="9"/>
    <w:unhideWhenUsed/>
    <w:qFormat/>
    <w:pPr>
      <w:keepNext/>
      <w:keepLines/>
      <w:spacing w:after="0" w:before="200" w:line="288" w:lineRule="auto"/>
      <w:jc w:val="both"/>
      <w:outlineLvl w:val="8"/>
    </w:pPr>
    <w:rPr>
      <w:rFonts w:ascii="Times New Roman" w:asciiTheme="majorHAnsi" w:cstheme="majorBidi" w:eastAsia="Times New Roman" w:eastAsiaTheme="majorEastAsia" w:hAnsi="Times New Roman" w:hAnsiTheme="majorHAnsi"/>
      <w:color w:val="000000"/>
      <w:sz w:val="26"/>
      <w:szCs w:val="24"/>
    </w:rPr>
  </w:style>
  <w:style w:styleId="BlockText" w:type="paragraph">
    <w:name w:val="Block Text"/>
    <w:basedOn w:val="BodyText"/>
    <w:next w:val="BodyText"/>
    <w:uiPriority w:val="9"/>
    <w:unhideWhenUsed/>
    <w:qFormat/>
    <w:pPr>
      <w:spacing w:after="100" w:before="100" w:line="288" w:lineRule="auto"/>
      <w:ind w:firstLine="0" w:left="480" w:right="480"/>
      <w:jc w:val="both"/>
    </w:pPr>
    <w:rPr>
      <w:rFonts w:ascii="Times New Roman" w:eastAsia="Times New Roman" w:hAnsi="Times New Roman"/>
      <w:color w:val="000000"/>
      <w:sz w:val="26"/>
    </w:rPr>
  </w:style>
  <w:style w:styleId="FootnoteText" w:type="paragraph">
    <w:name w:val="Footnote Text"/>
    <w:basedOn w:val="Normal"/>
    <w:next w:val="FootnoteText"/>
    <w:uiPriority w:val="9"/>
    <w:unhideWhenUsed/>
    <w:qFormat/>
    <w:pPr>
      <w:spacing w:line="288" w:lineRule="auto"/>
      <w:jc w:val="both"/>
    </w:pPr>
    <w:rPr>
      <w:rFonts w:ascii="Times New Roman" w:eastAsia="Times New Roman" w:hAnsi="Times New Roman"/>
      <w:color w:val="000000"/>
      <w:sz w:val="26"/>
    </w:rPr>
  </w:style>
  <w:style w:default="1" w:styleId="DefaultParagraphFont" w:type="character">
    <w:name w:val="Default Paragraph Font"/>
    <w:semiHidden/>
    <w:unhideWhenUsed/>
    <w:rPr>
      <w:rFonts w:ascii="Times New Roman" w:eastAsia="Times New Roman" w:hAnsi="Times New Roman"/>
      <w:color w:val="000000"/>
      <w:sz w:val="26"/>
    </w:rPr>
  </w:style>
  <w:style w:default="1" w:styleId="Table" w:type="table">
    <w:name w:val="Table"/>
    <w:basedOn w:val="TableNormal"/>
    <w:semiHidden/>
    <w:unhideWhenUsed/>
    <w:qFormat/>
    <w:pPr>
      <w:spacing w:line="288" w:lineRule="auto"/>
      <w:jc w:val="both"/>
    </w:pPr>
    <w:rPr>
      <w:rFonts w:ascii="Times New Roman" w:eastAsia="Times New Roman" w:hAnsi="Times New Roman"/>
      <w:color w:val="000000"/>
      <w:sz w:val="26"/>
    </w:rPr>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line="288" w:lineRule="auto"/>
      <w:jc w:val="both"/>
    </w:pPr>
    <w:rPr>
      <w:rFonts w:ascii="Times New Roman" w:eastAsia="Times New Roman" w:hAnsi="Times New Roman"/>
      <w:b/>
      <w:color w:val="000000"/>
      <w:sz w:val="26"/>
    </w:rPr>
  </w:style>
  <w:style w:customStyle="1" w:styleId="Definition" w:type="paragraph">
    <w:name w:val="Definition"/>
    <w:basedOn w:val="Normal"/>
    <w:pPr>
      <w:spacing w:line="288" w:lineRule="auto"/>
      <w:jc w:val="both"/>
    </w:pPr>
    <w:rPr>
      <w:rFonts w:ascii="Times New Roman" w:eastAsia="Times New Roman" w:hAnsi="Times New Roman"/>
      <w:color w:val="000000"/>
      <w:sz w:val="26"/>
    </w:rPr>
  </w:style>
  <w:style w:styleId="Caption" w:type="paragraph">
    <w:name w:val="Caption"/>
    <w:basedOn w:val="Normal"/>
    <w:link w:val="BodyTextChar"/>
    <w:pPr>
      <w:spacing w:after="120" w:before="0" w:line="288" w:lineRule="auto"/>
      <w:jc w:val="both"/>
    </w:pPr>
    <w:rPr>
      <w:rFonts w:ascii="Times New Roman" w:eastAsia="Times New Roman" w:hAnsi="Times New Roman"/>
      <w:i/>
      <w:color w:val="000000"/>
      <w:sz w:val="26"/>
    </w:rPr>
  </w:style>
  <w:style w:customStyle="1" w:styleId="TableCaption" w:type="paragraph">
    <w:name w:val="Table Caption"/>
    <w:basedOn w:val="Caption"/>
    <w:pPr>
      <w:keepNext/>
      <w:spacing w:line="288" w:lineRule="auto"/>
      <w:jc w:val="both"/>
    </w:pPr>
    <w:rPr>
      <w:rFonts w:ascii="Times New Roman" w:eastAsia="Times New Roman" w:hAnsi="Times New Roman"/>
      <w:color w:val="000000"/>
      <w:sz w:val="26"/>
    </w:rPr>
  </w:style>
  <w:style w:customStyle="1" w:styleId="ImageCaption" w:type="paragraph">
    <w:name w:val="Image Caption"/>
    <w:basedOn w:val="Caption"/>
    <w:pPr>
      <w:spacing w:line="288" w:lineRule="auto"/>
      <w:jc w:val="both"/>
    </w:pPr>
    <w:rPr>
      <w:rFonts w:ascii="Times New Roman" w:eastAsia="Times New Roman" w:hAnsi="Times New Roman"/>
      <w:color w:val="000000"/>
      <w:sz w:val="26"/>
    </w:rPr>
  </w:style>
  <w:style w:customStyle="1" w:styleId="Figure" w:type="paragraph">
    <w:name w:val="Figure"/>
    <w:basedOn w:val="Normal"/>
    <w:pPr>
      <w:spacing w:line="288" w:lineRule="auto"/>
      <w:jc w:val="both"/>
    </w:pPr>
    <w:rPr>
      <w:rFonts w:ascii="Times New Roman" w:eastAsia="Times New Roman" w:hAnsi="Times New Roman"/>
      <w:color w:val="000000"/>
      <w:sz w:val="26"/>
    </w:rPr>
  </w:style>
  <w:style w:customStyle="1" w:styleId="CaptionedFigure" w:type="paragraph">
    <w:name w:val="Captioned Figure"/>
    <w:basedOn w:val="Figure"/>
    <w:pPr>
      <w:keepNext/>
      <w:spacing w:line="288" w:lineRule="auto"/>
      <w:jc w:val="both"/>
    </w:pPr>
    <w:rPr>
      <w:rFonts w:ascii="Times New Roman" w:eastAsia="Times New Roman" w:hAnsi="Times New Roman"/>
      <w:color w:val="000000"/>
      <w:sz w:val="26"/>
    </w:rPr>
  </w:style>
  <w:style w:customStyle="1" w:styleId="BodyTextChar" w:type="character">
    <w:name w:val="Body Text Char"/>
    <w:basedOn w:val="DefaultParagraphFont"/>
    <w:link w:val="BodyText"/>
    <w:rPr>
      <w:rFonts w:ascii="Times New Roman" w:eastAsia="Times New Roman" w:hAnsi="Times New Roman"/>
      <w:color w:val="000000"/>
      <w:sz w:val="26"/>
    </w:rPr>
  </w:style>
  <w:style w:customStyle="1" w:styleId="VerbatimChar" w:type="character">
    <w:name w:val="Verbatim Char"/>
    <w:basedOn w:val="BodyTextChar"/>
    <w:rPr>
      <w:rFonts w:ascii="Times New Roman" w:eastAsia="Times New Roman" w:hAnsi="Times New Roman"/>
      <w:color w:val="000000"/>
      <w:sz w:val="26"/>
    </w:rPr>
  </w:style>
  <w:style w:customStyle="1" w:styleId="SectionNumber" w:type="character">
    <w:name w:val="Section Number"/>
    <w:basedOn w:val="BodyTextChar"/>
    <w:rPr>
      <w:rFonts w:ascii="Times New Roman" w:eastAsia="Times New Roman" w:hAnsi="Times New Roman"/>
      <w:color w:val="000000"/>
      <w:sz w:val="26"/>
    </w:rPr>
  </w:style>
  <w:style w:styleId="FootnoteReference" w:type="character">
    <w:name w:val="Footnote Reference"/>
    <w:basedOn w:val="BodyTextChar"/>
    <w:rPr>
      <w:rFonts w:ascii="Times New Roman" w:eastAsia="Times New Roman" w:hAnsi="Times New Roman"/>
      <w:color w:val="000000"/>
      <w:sz w:val="26"/>
      <w:vertAlign w:val="superscript"/>
    </w:rPr>
  </w:style>
  <w:style w:styleId="Hyperlink" w:type="character">
    <w:name w:val="Hyperlink"/>
    <w:basedOn w:val="BodyTextChar"/>
    <w:rPr>
      <w:rFonts w:ascii="Times New Roman" w:eastAsia="Times New Roman" w:hAnsi="Times New Roman"/>
      <w:color w:val="000000"/>
      <w:sz w:val="26"/>
    </w:rPr>
  </w:style>
  <w:style w:styleId="TOCHeading" w:type="paragraph">
    <w:name w:val="TOC Heading"/>
    <w:basedOn w:val="Heading1"/>
    <w:next w:val="BodyText"/>
    <w:uiPriority w:val="39"/>
    <w:unhideWhenUsed/>
    <w:qFormat/>
    <w:pPr>
      <w:spacing w:before="240" w:line="288" w:lineRule="auto"/>
      <w:jc w:val="both"/>
      <w:outlineLvl w:val="9"/>
    </w:pPr>
    <w:rPr>
      <w:rFonts w:ascii="Times New Roman" w:asciiTheme="majorHAnsi" w:cstheme="majorBidi" w:eastAsia="Times New Roman" w:eastAsiaTheme="majorEastAsia" w:hAnsi="Times New Roman" w:hAnsiTheme="majorHAnsi"/>
      <w:b w:val="0"/>
      <w:bCs w:val="0"/>
      <w:color w:val="000000"/>
      <w:sz w:val="26"/>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2026-06-04T00:48:55Z</dcterms:created>
  <dcterms:modified xsi:type="dcterms:W3CDTF">2026-06-04T00:48:55Z</dcterms:modified>
</cp:coreProperties>
</file>

<file path=docProps/custom.xml><?xml version="1.0" encoding="utf-8"?>
<Properties xmlns="http://schemas.openxmlformats.org/officeDocument/2006/custom-properties" xmlns:vt="http://schemas.openxmlformats.org/officeDocument/2006/docPropsVTypes"/>
</file>