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dưới ánh sáng của khung lý thuyết CDCM cùng bốn lý thuyết nền là Uppsala, RBV, lý thuyết thể chế và lý thuyết thượng tầng quản trị. Chương gồm sáu phần: bàn luận kết quả theo khung lý thuyết; so sánh với nghiên cứu trước; đóng góp lý thuyết; đề xuất chính sách và quản trị; hạn chế cùng hướng nghiên cứu tương lai; và kết luận tổng thể của luận án.</w:t>
      </w:r>
    </w:p>
    <w:p>
      <w:r>
        <w:pict>
          <v:rect style="width:0;height:1.5pt" o:hralign="center" o:hrstd="t" o:hr="t"/>
        </w:pict>
      </w:r>
    </w:p>
    <w:bookmarkEnd w:id="21"/>
    <w:bookmarkStart w:id="27" w:name="Xff8cef3ed320f9cf6f3fba4ff558bfed3af19c6"/>
    <w:p>
      <w:pPr>
        <w:pStyle w:val="Heading2"/>
      </w:pPr>
      <w:r>
        <w:t xml:space="preserve">5.1 Bàn luận kết quả theo khung lý thuyết CDCM</w:t>
      </w:r>
    </w:p>
    <w:bookmarkStart w:id="22" w:name="X15bf1096964ce027ae5f38ba61f44ecafa6a90e"/>
    <w:p>
      <w:pPr>
        <w:pStyle w:val="Heading3"/>
      </w:pPr>
      <w:r>
        <w:t xml:space="preserve">5.1.1 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Hiểu theo cơ chế, ICRV vận hành như một</w:t>
      </w:r>
      <w:r>
        <w:t xml:space="preserve"> </w:t>
      </w:r>
      <w:r>
        <w:rPr>
          <w:bCs/>
          <w:b/>
        </w:rPr>
        <w:t xml:space="preserve">bộ lọc chi phí giao dịch (transaction cost filter)</w:t>
      </w:r>
      <w:r>
        <w:t xml:space="preserve"> </w:t>
      </w:r>
      <w:r>
        <w:t xml:space="preserve">và sáu chế độ hợp thành một</w:t>
      </w:r>
      <w:r>
        <w:t xml:space="preserve"> </w:t>
      </w:r>
      <w:r>
        <w:rPr>
          <w:bCs/>
          <w:b/>
        </w:rPr>
        <w:t xml:space="preserve">bản đồ địa hình xuất khẩu chiến lược (strategic export topography)</w:t>
      </w:r>
      <w:r>
        <w:t xml:space="preserve">: chính chất lượng thể chế quy định nơi điểm uốn của quan hệ I-P xuất hiện, còn năng lực số đóng vai trò lá chắn bù đắp khi bộ lọc tắc nghẽn.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24"/>
    <w:bookmarkStart w:id="25" w:name="Xece9a1da6f346a507472622c3a51811b77b548d"/>
    <w:p>
      <w:pPr>
        <w:pStyle w:val="Heading3"/>
      </w:pPr>
      <w:r>
        <w:t xml:space="preserve">5.1.4 Đặc điểm nhà quản trị là kiểm soát quản trị nội sinh, hỗ trợ có điều kiện H4</w:t>
      </w:r>
    </w:p>
    <w:p>
      <w:pPr>
        <w:pStyle w:val="FirstParagraph"/>
      </w:pPr>
      <w:r>
        <w:t xml:space="preserve">Kết quả về H4 từ P7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các đặc điểm này được đưa vào khung như khối kiểm soát quản trị nội sinh chứ không phải nhân tố điều tiết trọng tâm định hình độ cong của đường quan hệ I-P.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(P7);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25"/>
    <w:bookmarkStart w:id="26" w:name="Xec64c810cb028afb72ecad1fcf3407044422350"/>
    <w:p>
      <w:pPr>
        <w:pStyle w:val="Heading3"/>
      </w:pPr>
      <w:r>
        <w:t xml:space="preserve">5.1.5 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p>
      <w:r>
        <w:pict>
          <v:rect style="width:0;height:1.5pt" o:hralign="center" o:hrstd="t" o:hr="t"/>
        </w:pict>
      </w:r>
    </w:p>
    <w:bookmarkEnd w:id="26"/>
    <w:bookmarkEnd w:id="27"/>
    <w:bookmarkStart w:id="31" w:name="so-sánh-với-nghiên-cứu-trước-đây"/>
    <w:p>
      <w:pPr>
        <w:pStyle w:val="Heading2"/>
      </w:pPr>
      <w:r>
        <w:t xml:space="preserve">5.2 So sánh với nghiên cứu trước đây</w:t>
      </w:r>
    </w:p>
    <w:bookmarkStart w:id="28" w:name="nhất-quán-với-nền-tảng-icbef-2024"/>
    <w:p>
      <w:pPr>
        <w:pStyle w:val="Heading3"/>
      </w:pPr>
      <w:r>
        <w:t xml:space="preserve">5.2.1 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hai phát hiện sắc bén hơn. Phát hiện thứ nhất là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 Phát hiện thứ hai, và là một đóng góp hiệu chỉnh đối với toàn bộ văn liệu, là mức độ thiên lệch công bố: hiệu chỉnh trim-and-fill kéo hiệu ứng gộp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w:t>
      </w:r>
      <w:r>
        <w:t xml:space="preserve"> </w:t>
      </w:r>
      <w:r>
        <w:rPr>
          <w:bCs/>
          <w:b/>
        </w:rPr>
        <w:t xml:space="preserve">suy giảm khoảng 53%</w:t>
      </w:r>
      <w:r>
        <w:t xml:space="preserve"> </w:t>
      </w:r>
      <w:r>
        <w:t xml:space="preserve">— hàm ý rằng quan hệ I-P trung bình được báo cáo suốt bốn thập kỷ có thể đã bị thổi phồng đáng kể. Đây là một ước lượng hiệu chỉnh được củng cố bởi kiểm định Begg có ý nghĩa (</w:t>
      </w:r>
      <m:oMath>
        <m:r>
          <m:t>τ</m:t>
        </m:r>
        <m:r>
          <m:rPr>
            <m:sty m:val="p"/>
          </m:rPr>
          <m:t>=</m:t>
        </m:r>
        <m:r>
          <m:rPr>
            <m:sty m:val="p"/>
          </m:rPr>
          <m:t>−</m:t>
        </m:r>
        <m:r>
          <m:t>0</m:t>
        </m:r>
        <m:r>
          <m:rPr>
            <m:sty m:val="p"/>
          </m:rPr>
          <m:t>,</m:t>
        </m:r>
        <m:r>
          <m:t>134</m:t>
        </m:r>
      </m:oMath>
      <w:r>
        <w:t xml:space="preserve">,</w:t>
      </w:r>
      <w:r>
        <w:t xml:space="preserve"> </w:t>
      </w:r>
      <m:oMath>
        <m:r>
          <m:t>p</m:t>
        </m:r>
        <m:r>
          <m:rPr>
            <m:sty m:val="p"/>
          </m:rPr>
          <m:t>&lt;</m:t>
        </m:r>
        <m:r>
          <m:rPr>
            <m:sty m:val="p"/>
          </m:rPr>
          <m:t>,</m:t>
        </m:r>
        <m:r>
          <m:t>001</m:t>
        </m:r>
      </m:oMath>
      <w:r>
        <w:t xml:space="preserve">); do kiểm định Egger chỉ ở mức biên (</w:t>
      </w:r>
      <m:oMath>
        <m:r>
          <m:t>p</m:t>
        </m:r>
        <m:r>
          <m:rPr>
            <m:sty m:val="p"/>
          </m:rPr>
          <m:t>=</m:t>
        </m:r>
        <m:r>
          <m:rPr>
            <m:sty m:val="p"/>
          </m:rPr>
          <m:t>,</m:t>
        </m:r>
        <m:r>
          <m:t>057</m:t>
        </m:r>
      </m:oMath>
      <w:r>
        <w:t xml:space="preserve">), luận án trình bày con số 53% như một tín hiệu định hướng mạnh chứ không phải một độ lớn đã chốt.</w:t>
      </w:r>
    </w:p>
    <w:bookmarkEnd w:id="28"/>
    <w:bookmarkStart w:id="29" w:name="X7b8db85450aaa41ba255e0d181ebc5c5ae65c48"/>
    <w:p>
      <w:pPr>
        <w:pStyle w:val="Heading3"/>
      </w:pPr>
      <w:r>
        <w:t xml:space="preserve">5.2.2 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29"/>
    <w:bookmarkStart w:id="30" w:name="Xa9e0768422fd6621b6e86563bb0c71b914b0101"/>
    <w:p>
      <w:pPr>
        <w:pStyle w:val="Heading3"/>
      </w:pPr>
      <w:r>
        <w:t xml:space="preserve">5.2.3 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p>
      <w:r>
        <w:pict>
          <v:rect style="width:0;height:1.5pt" o:hralign="center" o:hrstd="t" o:hr="t"/>
        </w:pict>
      </w:r>
    </w:p>
    <w:bookmarkEnd w:id="30"/>
    <w:bookmarkEnd w:id="31"/>
    <w:bookmarkStart w:id="35" w:name="đóng-góp-lý-thuyết"/>
    <w:p>
      <w:pPr>
        <w:pStyle w:val="Heading2"/>
      </w:pPr>
      <w:r>
        <w:t xml:space="preserve">5.3 Đóng góp lý thuyết</w:t>
      </w:r>
    </w:p>
    <w:bookmarkStart w:id="32"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32"/>
    <w:bookmarkStart w:id="33"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33"/>
    <w:bookmarkStart w:id="34" w:name="X7352a2da659179c15b73f9225773fcebe172e9a"/>
    <w:p>
      <w:pPr>
        <w:pStyle w:val="Heading3"/>
      </w:pPr>
      <w:r>
        <w:t xml:space="preserve">5.3.3 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p>
      <w:r>
        <w:pict>
          <v:rect style="width:0;height:1.5pt" o:hralign="center" o:hrstd="t" o:hr="t"/>
        </w:pict>
      </w:r>
    </w:p>
    <w:bookmarkEnd w:id="34"/>
    <w:bookmarkEnd w:id="35"/>
    <w:bookmarkStart w:id="40" w:name="đề-xuất-chính-sách-và-quản-trị"/>
    <w:p>
      <w:pPr>
        <w:pStyle w:val="Heading2"/>
      </w:pPr>
      <w:r>
        <w:t xml:space="preserve">5.4 Đề xuất chính sách và quản trị</w:t>
      </w:r>
    </w:p>
    <w:bookmarkStart w:id="36"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36"/>
    <w:bookmarkStart w:id="37"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37"/>
    <w:bookmarkStart w:id="38" w:name="X8eb24980ca890fc6da7d7cc40ee5058abf48ce9"/>
    <w:p>
      <w:pPr>
        <w:pStyle w:val="Heading3"/>
      </w:pPr>
      <w:r>
        <w:t xml:space="preserve">5.4.3 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38"/>
    <w:bookmarkStart w:id="39" w:name="Xe9c04ec45c7d98621ecb7c78564ab84a21b4658"/>
    <w:p>
      <w:pPr>
        <w:pStyle w:val="Heading3"/>
      </w:pPr>
      <w:r>
        <w:t xml:space="preserve">5.4.4 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p>
      <w:r>
        <w:pict>
          <v:rect style="width:0;height:1.5pt" o:hralign="center" o:hrstd="t" o:hr="t"/>
        </w:pic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41"/>
    <w:bookmarkStart w:id="42" w:name="X9c6addda56cacda8a31e56c0f8a748c29f6b6eb"/>
    <w:p>
      <w:pPr>
        <w:pStyle w:val="Heading3"/>
      </w:pPr>
      <w:r>
        <w:t xml:space="preserve">5.5.2 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42"/>
    <w:bookmarkStart w:id="43" w:name="hạn-chế-về-suy-luận-nhân-quả"/>
    <w:p>
      <w:pPr>
        <w:pStyle w:val="Heading3"/>
      </w:pPr>
      <w:r>
        <w:t xml:space="preserve">5.5.3 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43"/>
    <w:bookmarkStart w:id="44" w:name="hướng-nghiên-cứu-tương-lai"/>
    <w:p>
      <w:pPr>
        <w:pStyle w:val="Heading3"/>
      </w:pPr>
      <w:r>
        <w:t xml:space="preserve">5.5.4 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tám-nghiên-cứu"/>
    <w:p>
      <w:pPr>
        <w:pStyle w:val="Heading3"/>
      </w:pPr>
      <w:r>
        <w:t xml:space="preserve">5.6.1 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p>
      <w:r>
        <w:pict>
          <v:rect style="width:0;height:1.5pt" o:hralign="center" o:hrstd="t" o:hr="t"/>
        </w:pic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2026-05-26T15:20:19Z</dcterms:created>
  <dcterms:modified xsi:type="dcterms:W3CDTF">2026-05-26T15:20:19Z</dcterms:modified>
</cp:coreProperties>
</file>

<file path=docProps/custom.xml><?xml version="1.0" encoding="utf-8"?>
<Properties xmlns="http://schemas.openxmlformats.org/officeDocument/2006/custom-properties" xmlns:vt="http://schemas.openxmlformats.org/officeDocument/2006/docPropsVTypes"/>
</file>